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rPr>
          <w:color w:val="auto"/>
          <w:lang w:eastAsia="zh-CN"/>
        </w:rPr>
      </w:pPr>
    </w:p>
    <w:p>
      <w:pPr>
        <w:pStyle w:val="20"/>
        <w:rPr>
          <w:rFonts w:ascii="宋体" w:hAnsi="宋体" w:cs="宋体"/>
          <w:b/>
          <w:bCs/>
          <w:color w:val="auto"/>
          <w:spacing w:val="80"/>
          <w:sz w:val="112"/>
          <w:szCs w:val="112"/>
          <w:lang w:eastAsia="zh-CN"/>
        </w:rPr>
      </w:pPr>
    </w:p>
    <w:p>
      <w:pPr>
        <w:jc w:val="center"/>
        <w:outlineLvl w:val="0"/>
        <w:rPr>
          <w:rFonts w:ascii="宋体" w:hAnsi="宋体" w:cs="宋体"/>
          <w:b/>
          <w:bCs/>
          <w:color w:val="auto"/>
          <w:spacing w:val="80"/>
          <w:sz w:val="112"/>
          <w:szCs w:val="112"/>
        </w:rPr>
      </w:pPr>
    </w:p>
    <w:p>
      <w:pPr>
        <w:jc w:val="center"/>
        <w:outlineLvl w:val="0"/>
        <w:rPr>
          <w:rFonts w:ascii="宋体" w:hAnsi="宋体" w:cs="宋体"/>
          <w:b/>
          <w:bCs/>
          <w:color w:val="auto"/>
          <w:spacing w:val="80"/>
          <w:sz w:val="112"/>
          <w:szCs w:val="112"/>
        </w:rPr>
      </w:pPr>
      <w:r>
        <w:rPr>
          <w:rFonts w:hint="eastAsia" w:ascii="宋体" w:hAnsi="宋体" w:cs="宋体"/>
          <w:b/>
          <w:bCs/>
          <w:color w:val="auto"/>
          <w:spacing w:val="80"/>
          <w:sz w:val="112"/>
          <w:szCs w:val="112"/>
        </w:rPr>
        <w:t>竞争性磋商文件</w:t>
      </w:r>
    </w:p>
    <w:p>
      <w:pPr>
        <w:spacing w:line="700" w:lineRule="exact"/>
        <w:jc w:val="center"/>
        <w:rPr>
          <w:rFonts w:ascii="宋体" w:hAnsi="宋体" w:cs="宋体"/>
          <w:b/>
          <w:bCs/>
          <w:color w:val="auto"/>
          <w:sz w:val="32"/>
        </w:rPr>
      </w:pPr>
    </w:p>
    <w:p>
      <w:pPr>
        <w:spacing w:line="700" w:lineRule="exact"/>
        <w:jc w:val="center"/>
        <w:rPr>
          <w:rFonts w:ascii="宋体" w:hAnsi="宋体" w:cs="宋体"/>
          <w:b/>
          <w:bCs/>
          <w:color w:val="auto"/>
          <w:sz w:val="32"/>
        </w:rPr>
      </w:pPr>
    </w:p>
    <w:p>
      <w:pPr>
        <w:spacing w:line="700" w:lineRule="exact"/>
        <w:jc w:val="center"/>
        <w:rPr>
          <w:rFonts w:ascii="宋体" w:hAnsi="宋体" w:cs="宋体"/>
          <w:b/>
          <w:bCs/>
          <w:color w:val="auto"/>
          <w:sz w:val="32"/>
        </w:rPr>
      </w:pPr>
    </w:p>
    <w:p>
      <w:pPr>
        <w:spacing w:line="800" w:lineRule="exact"/>
        <w:ind w:left="3605" w:leftChars="384" w:hanging="2530" w:hangingChars="700"/>
        <w:rPr>
          <w:rFonts w:ascii="宋体" w:hAnsi="宋体" w:cs="宋体"/>
          <w:b/>
          <w:bCs/>
          <w:color w:val="auto"/>
          <w:sz w:val="36"/>
          <w:szCs w:val="30"/>
        </w:rPr>
      </w:pPr>
      <w:r>
        <w:rPr>
          <w:rFonts w:hint="eastAsia" w:ascii="宋体" w:hAnsi="宋体" w:cs="宋体"/>
          <w:b/>
          <w:bCs/>
          <w:color w:val="auto"/>
          <w:sz w:val="36"/>
          <w:szCs w:val="30"/>
        </w:rPr>
        <w:t>磋商项目编号：</w:t>
      </w:r>
    </w:p>
    <w:p>
      <w:pPr>
        <w:spacing w:line="800" w:lineRule="exact"/>
        <w:ind w:left="3605" w:leftChars="384" w:hanging="2530" w:hangingChars="700"/>
        <w:rPr>
          <w:rFonts w:ascii="宋体" w:hAnsi="宋体" w:cs="宋体"/>
          <w:b/>
          <w:bCs/>
          <w:color w:val="auto"/>
          <w:sz w:val="36"/>
          <w:szCs w:val="30"/>
        </w:rPr>
      </w:pPr>
      <w:r>
        <w:rPr>
          <w:rFonts w:hint="eastAsia" w:ascii="宋体" w:hAnsi="宋体" w:cs="宋体"/>
          <w:b/>
          <w:bCs/>
          <w:color w:val="auto"/>
          <w:sz w:val="36"/>
          <w:szCs w:val="30"/>
        </w:rPr>
        <w:t>磋商项目名称：重庆市计量发展规划（2021-2035）编制咨询服务项目</w:t>
      </w:r>
    </w:p>
    <w:p>
      <w:pPr>
        <w:spacing w:line="700" w:lineRule="exact"/>
        <w:ind w:firstLine="1446" w:firstLineChars="400"/>
        <w:rPr>
          <w:rFonts w:ascii="宋体" w:hAnsi="宋体" w:cs="宋体"/>
          <w:b/>
          <w:bCs/>
          <w:color w:val="auto"/>
          <w:sz w:val="36"/>
          <w:szCs w:val="30"/>
        </w:rPr>
      </w:pPr>
    </w:p>
    <w:p>
      <w:pPr>
        <w:spacing w:line="700" w:lineRule="exact"/>
        <w:jc w:val="center"/>
        <w:rPr>
          <w:rFonts w:ascii="宋体" w:hAnsi="宋体" w:cs="宋体"/>
          <w:b/>
          <w:bCs/>
          <w:color w:val="auto"/>
          <w:sz w:val="30"/>
          <w:szCs w:val="30"/>
        </w:rPr>
      </w:pPr>
    </w:p>
    <w:p>
      <w:pPr>
        <w:spacing w:line="700" w:lineRule="exact"/>
        <w:jc w:val="center"/>
        <w:rPr>
          <w:rFonts w:ascii="宋体" w:hAnsi="宋体" w:cs="宋体"/>
          <w:b/>
          <w:bCs/>
          <w:color w:val="auto"/>
          <w:sz w:val="30"/>
          <w:szCs w:val="30"/>
        </w:rPr>
      </w:pPr>
    </w:p>
    <w:p>
      <w:pPr>
        <w:pStyle w:val="6"/>
        <w:rPr>
          <w:color w:val="auto"/>
        </w:rPr>
      </w:pPr>
    </w:p>
    <w:p>
      <w:pPr>
        <w:spacing w:line="800" w:lineRule="exact"/>
        <w:ind w:left="3324" w:leftChars="384" w:hanging="2249" w:hangingChars="700"/>
        <w:rPr>
          <w:rFonts w:ascii="宋体" w:hAnsi="宋体" w:cs="宋体"/>
          <w:b/>
          <w:bCs/>
          <w:color w:val="auto"/>
          <w:sz w:val="32"/>
          <w:szCs w:val="32"/>
        </w:rPr>
      </w:pPr>
      <w:r>
        <w:rPr>
          <w:rFonts w:hint="eastAsia" w:ascii="宋体" w:hAnsi="宋体" w:cs="宋体"/>
          <w:b/>
          <w:bCs/>
          <w:color w:val="auto"/>
          <w:sz w:val="32"/>
          <w:szCs w:val="32"/>
        </w:rPr>
        <w:t>采   购   人：重庆市计量质量检测研究院</w:t>
      </w:r>
    </w:p>
    <w:p>
      <w:pPr>
        <w:spacing w:line="560" w:lineRule="exact"/>
        <w:jc w:val="center"/>
        <w:rPr>
          <w:rFonts w:ascii="宋体" w:hAnsi="宋体" w:cs="宋体"/>
          <w:b/>
          <w:bCs/>
          <w:color w:val="auto"/>
          <w:sz w:val="48"/>
          <w:szCs w:val="32"/>
        </w:rPr>
      </w:pPr>
    </w:p>
    <w:p>
      <w:pPr>
        <w:spacing w:line="560" w:lineRule="exact"/>
        <w:jc w:val="center"/>
        <w:rPr>
          <w:rFonts w:ascii="宋体" w:hAnsi="宋体" w:cs="宋体"/>
          <w:b/>
          <w:bCs/>
          <w:color w:val="auto"/>
          <w:sz w:val="44"/>
          <w:szCs w:val="44"/>
        </w:rPr>
      </w:pPr>
      <w:r>
        <w:rPr>
          <w:rFonts w:hint="eastAsia" w:ascii="宋体" w:hAnsi="宋体" w:cs="宋体"/>
          <w:b/>
          <w:bCs/>
          <w:color w:val="auto"/>
          <w:sz w:val="36"/>
          <w:szCs w:val="36"/>
        </w:rPr>
        <w:t>二〇二一年八月</w:t>
      </w:r>
    </w:p>
    <w:p>
      <w:pPr>
        <w:spacing w:line="560" w:lineRule="exact"/>
        <w:jc w:val="center"/>
        <w:outlineLvl w:val="0"/>
        <w:rPr>
          <w:rFonts w:ascii="宋体" w:hAnsi="宋体" w:cs="宋体"/>
          <w:color w:val="auto"/>
          <w:sz w:val="44"/>
          <w:szCs w:val="28"/>
        </w:rPr>
        <w:sectPr>
          <w:headerReference r:id="rId4" w:type="first"/>
          <w:footerReference r:id="rId6" w:type="first"/>
          <w:headerReference r:id="rId3" w:type="default"/>
          <w:footerReference r:id="rId5" w:type="even"/>
          <w:pgSz w:w="11907" w:h="16840"/>
          <w:pgMar w:top="1134" w:right="1191" w:bottom="1134" w:left="1304" w:header="851" w:footer="992" w:gutter="0"/>
          <w:pgNumType w:fmt="numberInDash" w:start="1"/>
          <w:cols w:space="720" w:num="1"/>
          <w:docGrid w:linePitch="380" w:charSpace="-5735"/>
        </w:sectPr>
      </w:pPr>
    </w:p>
    <w:p>
      <w:pPr>
        <w:spacing w:line="480" w:lineRule="exact"/>
        <w:jc w:val="center"/>
        <w:outlineLvl w:val="0"/>
        <w:rPr>
          <w:rFonts w:ascii="宋体" w:hAnsi="宋体" w:cs="宋体"/>
          <w:color w:val="auto"/>
          <w:sz w:val="44"/>
          <w:szCs w:val="28"/>
        </w:rPr>
      </w:pPr>
      <w:r>
        <w:rPr>
          <w:rFonts w:hint="eastAsia" w:ascii="宋体" w:hAnsi="宋体" w:cs="宋体"/>
          <w:color w:val="auto"/>
          <w:sz w:val="44"/>
          <w:szCs w:val="28"/>
        </w:rPr>
        <w:t>目   录</w:t>
      </w:r>
    </w:p>
    <w:p>
      <w:pPr>
        <w:pStyle w:val="14"/>
        <w:tabs>
          <w:tab w:val="right" w:leader="dot" w:pos="9412"/>
        </w:tabs>
        <w:ind w:left="560"/>
        <w:rPr>
          <w:color w:val="auto"/>
        </w:rPr>
      </w:pPr>
      <w:r>
        <w:rPr>
          <w:rFonts w:hint="eastAsia" w:ascii="宋体" w:hAnsi="宋体" w:cs="宋体"/>
          <w:color w:val="auto"/>
          <w:sz w:val="21"/>
          <w:szCs w:val="21"/>
        </w:rPr>
        <w:fldChar w:fldCharType="begin"/>
      </w:r>
      <w:r>
        <w:rPr>
          <w:rFonts w:hint="eastAsia" w:ascii="宋体" w:hAnsi="宋体" w:cs="宋体"/>
          <w:color w:val="auto"/>
          <w:sz w:val="21"/>
          <w:szCs w:val="21"/>
        </w:rPr>
        <w:instrText xml:space="preserve"> TOC \o "1-3" \h \z </w:instrText>
      </w:r>
      <w:r>
        <w:rPr>
          <w:rFonts w:hint="eastAsia" w:ascii="宋体" w:hAnsi="宋体" w:cs="宋体"/>
          <w:color w:val="auto"/>
          <w:sz w:val="21"/>
          <w:szCs w:val="21"/>
        </w:rPr>
        <w:fldChar w:fldCharType="separate"/>
      </w:r>
      <w:r>
        <w:rPr>
          <w:color w:val="auto"/>
        </w:rPr>
        <w:fldChar w:fldCharType="begin"/>
      </w:r>
      <w:r>
        <w:rPr>
          <w:color w:val="auto"/>
        </w:rPr>
        <w:instrText xml:space="preserve"> HYPERLINK \l "_Toc18710" </w:instrText>
      </w:r>
      <w:r>
        <w:rPr>
          <w:color w:val="auto"/>
        </w:rPr>
        <w:fldChar w:fldCharType="separate"/>
      </w:r>
      <w:r>
        <w:rPr>
          <w:rFonts w:hint="eastAsia" w:ascii="宋体" w:hAnsi="宋体" w:cs="宋体"/>
          <w:color w:val="auto"/>
          <w:szCs w:val="30"/>
        </w:rPr>
        <w:t>第一篇  采购邀请书</w:t>
      </w:r>
      <w:r>
        <w:rPr>
          <w:color w:val="auto"/>
        </w:rPr>
        <w:tab/>
      </w:r>
      <w:r>
        <w:rPr>
          <w:color w:val="auto"/>
        </w:rPr>
        <w:fldChar w:fldCharType="begin"/>
      </w:r>
      <w:r>
        <w:rPr>
          <w:color w:val="auto"/>
        </w:rPr>
        <w:instrText xml:space="preserve"> PAGEREF _Toc18710 \h </w:instrText>
      </w:r>
      <w:r>
        <w:rPr>
          <w:color w:val="auto"/>
        </w:rPr>
        <w:fldChar w:fldCharType="separate"/>
      </w:r>
      <w:r>
        <w:rPr>
          <w:color w:val="auto"/>
        </w:rPr>
        <w:t>- 2 -</w:t>
      </w:r>
      <w:r>
        <w:rPr>
          <w:color w:val="auto"/>
        </w:rPr>
        <w:fldChar w:fldCharType="end"/>
      </w:r>
      <w:r>
        <w:rPr>
          <w:color w:val="auto"/>
        </w:rPr>
        <w:fldChar w:fldCharType="end"/>
      </w:r>
    </w:p>
    <w:p>
      <w:pPr>
        <w:pStyle w:val="8"/>
        <w:tabs>
          <w:tab w:val="right" w:leader="dot" w:pos="9412"/>
        </w:tabs>
        <w:ind w:left="1120"/>
        <w:rPr>
          <w:color w:val="auto"/>
        </w:rPr>
      </w:pPr>
      <w:r>
        <w:rPr>
          <w:color w:val="auto"/>
        </w:rPr>
        <w:fldChar w:fldCharType="begin"/>
      </w:r>
      <w:r>
        <w:rPr>
          <w:color w:val="auto"/>
        </w:rPr>
        <w:instrText xml:space="preserve"> HYPERLINK \l "_Toc20532" </w:instrText>
      </w:r>
      <w:r>
        <w:rPr>
          <w:color w:val="auto"/>
        </w:rPr>
        <w:fldChar w:fldCharType="separate"/>
      </w:r>
      <w:r>
        <w:rPr>
          <w:rFonts w:hint="eastAsia" w:ascii="宋体" w:hAnsi="宋体" w:cs="宋体"/>
          <w:color w:val="auto"/>
          <w:szCs w:val="24"/>
        </w:rPr>
        <w:t>一、 竞争性磋商内容</w:t>
      </w:r>
      <w:r>
        <w:rPr>
          <w:color w:val="auto"/>
        </w:rPr>
        <w:tab/>
      </w:r>
      <w:r>
        <w:rPr>
          <w:color w:val="auto"/>
        </w:rPr>
        <w:fldChar w:fldCharType="begin"/>
      </w:r>
      <w:r>
        <w:rPr>
          <w:color w:val="auto"/>
        </w:rPr>
        <w:instrText xml:space="preserve"> PAGEREF _Toc20532 \h </w:instrText>
      </w:r>
      <w:r>
        <w:rPr>
          <w:color w:val="auto"/>
        </w:rPr>
        <w:fldChar w:fldCharType="separate"/>
      </w:r>
      <w:r>
        <w:rPr>
          <w:color w:val="auto"/>
        </w:rPr>
        <w:t>- 2 -</w:t>
      </w:r>
      <w:r>
        <w:rPr>
          <w:color w:val="auto"/>
        </w:rPr>
        <w:fldChar w:fldCharType="end"/>
      </w:r>
      <w:r>
        <w:rPr>
          <w:color w:val="auto"/>
        </w:rPr>
        <w:fldChar w:fldCharType="end"/>
      </w:r>
    </w:p>
    <w:p>
      <w:pPr>
        <w:pStyle w:val="8"/>
        <w:tabs>
          <w:tab w:val="right" w:leader="dot" w:pos="9412"/>
        </w:tabs>
        <w:ind w:left="1120"/>
        <w:rPr>
          <w:color w:val="auto"/>
        </w:rPr>
      </w:pPr>
      <w:r>
        <w:rPr>
          <w:color w:val="auto"/>
        </w:rPr>
        <w:fldChar w:fldCharType="begin"/>
      </w:r>
      <w:r>
        <w:rPr>
          <w:color w:val="auto"/>
        </w:rPr>
        <w:instrText xml:space="preserve"> HYPERLINK \l "_Toc23028" </w:instrText>
      </w:r>
      <w:r>
        <w:rPr>
          <w:color w:val="auto"/>
        </w:rPr>
        <w:fldChar w:fldCharType="separate"/>
      </w:r>
      <w:r>
        <w:rPr>
          <w:rFonts w:hint="eastAsia" w:ascii="宋体" w:hAnsi="宋体" w:cs="宋体"/>
          <w:color w:val="auto"/>
          <w:szCs w:val="24"/>
        </w:rPr>
        <w:t>二、资金来源</w:t>
      </w:r>
      <w:r>
        <w:rPr>
          <w:color w:val="auto"/>
        </w:rPr>
        <w:tab/>
      </w:r>
      <w:r>
        <w:rPr>
          <w:color w:val="auto"/>
        </w:rPr>
        <w:fldChar w:fldCharType="begin"/>
      </w:r>
      <w:r>
        <w:rPr>
          <w:color w:val="auto"/>
        </w:rPr>
        <w:instrText xml:space="preserve"> PAGEREF _Toc23028 \h </w:instrText>
      </w:r>
      <w:r>
        <w:rPr>
          <w:color w:val="auto"/>
        </w:rPr>
        <w:fldChar w:fldCharType="separate"/>
      </w:r>
      <w:r>
        <w:rPr>
          <w:color w:val="auto"/>
        </w:rPr>
        <w:t>- 2 -</w:t>
      </w:r>
      <w:r>
        <w:rPr>
          <w:color w:val="auto"/>
        </w:rPr>
        <w:fldChar w:fldCharType="end"/>
      </w:r>
      <w:r>
        <w:rPr>
          <w:color w:val="auto"/>
        </w:rPr>
        <w:fldChar w:fldCharType="end"/>
      </w:r>
    </w:p>
    <w:p>
      <w:pPr>
        <w:pStyle w:val="8"/>
        <w:tabs>
          <w:tab w:val="right" w:leader="dot" w:pos="9412"/>
        </w:tabs>
        <w:ind w:left="1120"/>
        <w:rPr>
          <w:color w:val="auto"/>
        </w:rPr>
      </w:pPr>
      <w:r>
        <w:rPr>
          <w:color w:val="auto"/>
        </w:rPr>
        <w:fldChar w:fldCharType="begin"/>
      </w:r>
      <w:r>
        <w:rPr>
          <w:color w:val="auto"/>
        </w:rPr>
        <w:instrText xml:space="preserve"> HYPERLINK \l "_Toc20950" </w:instrText>
      </w:r>
      <w:r>
        <w:rPr>
          <w:color w:val="auto"/>
        </w:rPr>
        <w:fldChar w:fldCharType="separate"/>
      </w:r>
      <w:r>
        <w:rPr>
          <w:rFonts w:hint="eastAsia" w:ascii="宋体" w:hAnsi="宋体" w:cs="宋体"/>
          <w:color w:val="auto"/>
          <w:szCs w:val="24"/>
        </w:rPr>
        <w:t>三、供应商资格条件</w:t>
      </w:r>
      <w:r>
        <w:rPr>
          <w:color w:val="auto"/>
        </w:rPr>
        <w:tab/>
      </w:r>
      <w:r>
        <w:rPr>
          <w:color w:val="auto"/>
        </w:rPr>
        <w:fldChar w:fldCharType="begin"/>
      </w:r>
      <w:r>
        <w:rPr>
          <w:color w:val="auto"/>
        </w:rPr>
        <w:instrText xml:space="preserve"> PAGEREF _Toc20950 \h </w:instrText>
      </w:r>
      <w:r>
        <w:rPr>
          <w:color w:val="auto"/>
        </w:rPr>
        <w:fldChar w:fldCharType="separate"/>
      </w:r>
      <w:r>
        <w:rPr>
          <w:color w:val="auto"/>
        </w:rPr>
        <w:t>- 2 -</w:t>
      </w:r>
      <w:r>
        <w:rPr>
          <w:color w:val="auto"/>
        </w:rPr>
        <w:fldChar w:fldCharType="end"/>
      </w:r>
      <w:r>
        <w:rPr>
          <w:color w:val="auto"/>
        </w:rPr>
        <w:fldChar w:fldCharType="end"/>
      </w:r>
    </w:p>
    <w:p>
      <w:pPr>
        <w:pStyle w:val="8"/>
        <w:tabs>
          <w:tab w:val="right" w:leader="dot" w:pos="9412"/>
        </w:tabs>
        <w:ind w:left="1120"/>
        <w:rPr>
          <w:color w:val="auto"/>
        </w:rPr>
      </w:pPr>
      <w:r>
        <w:rPr>
          <w:color w:val="auto"/>
        </w:rPr>
        <w:fldChar w:fldCharType="begin"/>
      </w:r>
      <w:r>
        <w:rPr>
          <w:color w:val="auto"/>
        </w:rPr>
        <w:instrText xml:space="preserve"> HYPERLINK \l "_Toc4985" </w:instrText>
      </w:r>
      <w:r>
        <w:rPr>
          <w:color w:val="auto"/>
        </w:rPr>
        <w:fldChar w:fldCharType="separate"/>
      </w:r>
      <w:r>
        <w:rPr>
          <w:rFonts w:hint="eastAsia" w:ascii="宋体" w:hAnsi="宋体" w:cs="宋体"/>
          <w:color w:val="auto"/>
          <w:szCs w:val="24"/>
        </w:rPr>
        <w:t>四、磋商有关说明</w:t>
      </w:r>
      <w:r>
        <w:rPr>
          <w:color w:val="auto"/>
        </w:rPr>
        <w:tab/>
      </w:r>
      <w:r>
        <w:rPr>
          <w:color w:val="auto"/>
        </w:rPr>
        <w:fldChar w:fldCharType="begin"/>
      </w:r>
      <w:r>
        <w:rPr>
          <w:color w:val="auto"/>
        </w:rPr>
        <w:instrText xml:space="preserve"> PAGEREF _Toc4985 \h </w:instrText>
      </w:r>
      <w:r>
        <w:rPr>
          <w:color w:val="auto"/>
        </w:rPr>
        <w:fldChar w:fldCharType="separate"/>
      </w:r>
      <w:r>
        <w:rPr>
          <w:color w:val="auto"/>
        </w:rPr>
        <w:t>- 2 -</w:t>
      </w:r>
      <w:r>
        <w:rPr>
          <w:color w:val="auto"/>
        </w:rPr>
        <w:fldChar w:fldCharType="end"/>
      </w:r>
      <w:r>
        <w:rPr>
          <w:color w:val="auto"/>
        </w:rPr>
        <w:fldChar w:fldCharType="end"/>
      </w:r>
    </w:p>
    <w:p>
      <w:pPr>
        <w:pStyle w:val="8"/>
        <w:tabs>
          <w:tab w:val="right" w:leader="dot" w:pos="9412"/>
        </w:tabs>
        <w:ind w:left="1120"/>
        <w:rPr>
          <w:color w:val="auto"/>
        </w:rPr>
      </w:pPr>
      <w:r>
        <w:rPr>
          <w:color w:val="auto"/>
        </w:rPr>
        <w:fldChar w:fldCharType="begin"/>
      </w:r>
      <w:r>
        <w:rPr>
          <w:color w:val="auto"/>
        </w:rPr>
        <w:instrText xml:space="preserve"> HYPERLINK \l "_Toc22694" </w:instrText>
      </w:r>
      <w:r>
        <w:rPr>
          <w:color w:val="auto"/>
        </w:rPr>
        <w:fldChar w:fldCharType="separate"/>
      </w:r>
      <w:r>
        <w:rPr>
          <w:rFonts w:hint="eastAsia" w:ascii="宋体" w:hAnsi="宋体" w:cs="宋体"/>
          <w:color w:val="auto"/>
          <w:szCs w:val="24"/>
        </w:rPr>
        <w:t>五、其它有关规定</w:t>
      </w:r>
      <w:r>
        <w:rPr>
          <w:color w:val="auto"/>
        </w:rPr>
        <w:tab/>
      </w:r>
      <w:r>
        <w:rPr>
          <w:color w:val="auto"/>
        </w:rPr>
        <w:fldChar w:fldCharType="begin"/>
      </w:r>
      <w:r>
        <w:rPr>
          <w:color w:val="auto"/>
        </w:rPr>
        <w:instrText xml:space="preserve"> PAGEREF _Toc22694 \h </w:instrText>
      </w:r>
      <w:r>
        <w:rPr>
          <w:color w:val="auto"/>
        </w:rPr>
        <w:fldChar w:fldCharType="separate"/>
      </w:r>
      <w:r>
        <w:rPr>
          <w:color w:val="auto"/>
        </w:rPr>
        <w:t>- 2 -</w:t>
      </w:r>
      <w:r>
        <w:rPr>
          <w:color w:val="auto"/>
        </w:rPr>
        <w:fldChar w:fldCharType="end"/>
      </w:r>
      <w:r>
        <w:rPr>
          <w:color w:val="auto"/>
        </w:rPr>
        <w:fldChar w:fldCharType="end"/>
      </w:r>
    </w:p>
    <w:p>
      <w:pPr>
        <w:pStyle w:val="8"/>
        <w:tabs>
          <w:tab w:val="right" w:leader="dot" w:pos="9412"/>
        </w:tabs>
        <w:ind w:left="1120"/>
        <w:rPr>
          <w:color w:val="auto"/>
        </w:rPr>
      </w:pPr>
      <w:r>
        <w:rPr>
          <w:color w:val="auto"/>
        </w:rPr>
        <w:fldChar w:fldCharType="begin"/>
      </w:r>
      <w:r>
        <w:rPr>
          <w:color w:val="auto"/>
        </w:rPr>
        <w:instrText xml:space="preserve"> HYPERLINK \l "_Toc6415" </w:instrText>
      </w:r>
      <w:r>
        <w:rPr>
          <w:color w:val="auto"/>
        </w:rPr>
        <w:fldChar w:fldCharType="separate"/>
      </w:r>
      <w:r>
        <w:rPr>
          <w:rFonts w:hint="eastAsia" w:ascii="宋体" w:hAnsi="宋体" w:cs="宋体"/>
          <w:color w:val="auto"/>
          <w:szCs w:val="24"/>
        </w:rPr>
        <w:t>六、联系方式</w:t>
      </w:r>
      <w:r>
        <w:rPr>
          <w:color w:val="auto"/>
        </w:rPr>
        <w:tab/>
      </w:r>
      <w:r>
        <w:rPr>
          <w:color w:val="auto"/>
        </w:rPr>
        <w:fldChar w:fldCharType="begin"/>
      </w:r>
      <w:r>
        <w:rPr>
          <w:color w:val="auto"/>
        </w:rPr>
        <w:instrText xml:space="preserve"> PAGEREF _Toc6415 \h </w:instrText>
      </w:r>
      <w:r>
        <w:rPr>
          <w:color w:val="auto"/>
        </w:rPr>
        <w:fldChar w:fldCharType="separate"/>
      </w:r>
      <w:r>
        <w:rPr>
          <w:color w:val="auto"/>
        </w:rPr>
        <w:t>- 3 -</w:t>
      </w:r>
      <w:r>
        <w:rPr>
          <w:color w:val="auto"/>
        </w:rPr>
        <w:fldChar w:fldCharType="end"/>
      </w:r>
      <w:r>
        <w:rPr>
          <w:color w:val="auto"/>
        </w:rPr>
        <w:fldChar w:fldCharType="end"/>
      </w:r>
    </w:p>
    <w:p>
      <w:pPr>
        <w:pStyle w:val="14"/>
        <w:tabs>
          <w:tab w:val="right" w:leader="dot" w:pos="9412"/>
        </w:tabs>
        <w:ind w:left="560"/>
        <w:rPr>
          <w:color w:val="auto"/>
        </w:rPr>
      </w:pPr>
      <w:r>
        <w:rPr>
          <w:color w:val="auto"/>
        </w:rPr>
        <w:fldChar w:fldCharType="begin"/>
      </w:r>
      <w:r>
        <w:rPr>
          <w:color w:val="auto"/>
        </w:rPr>
        <w:instrText xml:space="preserve"> HYPERLINK \l "_Toc23928" </w:instrText>
      </w:r>
      <w:r>
        <w:rPr>
          <w:color w:val="auto"/>
        </w:rPr>
        <w:fldChar w:fldCharType="separate"/>
      </w:r>
      <w:r>
        <w:rPr>
          <w:rFonts w:hint="eastAsia" w:asciiTheme="minorEastAsia" w:hAnsiTheme="minorEastAsia" w:eastAsiaTheme="minorEastAsia" w:cstheme="minorEastAsia"/>
          <w:color w:val="auto"/>
          <w:szCs w:val="36"/>
        </w:rPr>
        <w:t>第二篇  采购项目需求</w:t>
      </w:r>
      <w:r>
        <w:rPr>
          <w:color w:val="auto"/>
        </w:rPr>
        <w:tab/>
      </w:r>
      <w:r>
        <w:rPr>
          <w:color w:val="auto"/>
        </w:rPr>
        <w:fldChar w:fldCharType="begin"/>
      </w:r>
      <w:r>
        <w:rPr>
          <w:color w:val="auto"/>
        </w:rPr>
        <w:instrText xml:space="preserve"> PAGEREF _Toc23928 \h </w:instrText>
      </w:r>
      <w:r>
        <w:rPr>
          <w:color w:val="auto"/>
        </w:rPr>
        <w:fldChar w:fldCharType="separate"/>
      </w:r>
      <w:r>
        <w:rPr>
          <w:color w:val="auto"/>
        </w:rPr>
        <w:t>- 4 -</w:t>
      </w:r>
      <w:r>
        <w:rPr>
          <w:color w:val="auto"/>
        </w:rPr>
        <w:fldChar w:fldCharType="end"/>
      </w:r>
      <w:r>
        <w:rPr>
          <w:color w:val="auto"/>
        </w:rPr>
        <w:fldChar w:fldCharType="end"/>
      </w:r>
    </w:p>
    <w:p>
      <w:pPr>
        <w:pStyle w:val="8"/>
        <w:tabs>
          <w:tab w:val="right" w:leader="dot" w:pos="9412"/>
        </w:tabs>
        <w:ind w:left="1120"/>
        <w:rPr>
          <w:color w:val="auto"/>
        </w:rPr>
      </w:pPr>
      <w:r>
        <w:rPr>
          <w:color w:val="auto"/>
        </w:rPr>
        <w:fldChar w:fldCharType="begin"/>
      </w:r>
      <w:r>
        <w:rPr>
          <w:color w:val="auto"/>
        </w:rPr>
        <w:instrText xml:space="preserve"> HYPERLINK \l "_Toc7935" </w:instrText>
      </w:r>
      <w:r>
        <w:rPr>
          <w:color w:val="auto"/>
        </w:rPr>
        <w:fldChar w:fldCharType="separate"/>
      </w:r>
      <w:r>
        <w:rPr>
          <w:rFonts w:hint="eastAsia"/>
          <w:color w:val="auto"/>
          <w:szCs w:val="24"/>
        </w:rPr>
        <w:t>一、招标项目一览表</w:t>
      </w:r>
      <w:r>
        <w:rPr>
          <w:color w:val="auto"/>
        </w:rPr>
        <w:tab/>
      </w:r>
      <w:r>
        <w:rPr>
          <w:color w:val="auto"/>
        </w:rPr>
        <w:fldChar w:fldCharType="begin"/>
      </w:r>
      <w:r>
        <w:rPr>
          <w:color w:val="auto"/>
        </w:rPr>
        <w:instrText xml:space="preserve"> PAGEREF _Toc7935 \h </w:instrText>
      </w:r>
      <w:r>
        <w:rPr>
          <w:color w:val="auto"/>
        </w:rPr>
        <w:fldChar w:fldCharType="separate"/>
      </w:r>
      <w:r>
        <w:rPr>
          <w:color w:val="auto"/>
        </w:rPr>
        <w:t>- 4 -</w:t>
      </w:r>
      <w:r>
        <w:rPr>
          <w:color w:val="auto"/>
        </w:rPr>
        <w:fldChar w:fldCharType="end"/>
      </w:r>
      <w:r>
        <w:rPr>
          <w:color w:val="auto"/>
        </w:rPr>
        <w:fldChar w:fldCharType="end"/>
      </w:r>
    </w:p>
    <w:p>
      <w:pPr>
        <w:pStyle w:val="8"/>
        <w:tabs>
          <w:tab w:val="right" w:leader="dot" w:pos="9412"/>
        </w:tabs>
        <w:ind w:left="1120"/>
        <w:rPr>
          <w:color w:val="auto"/>
        </w:rPr>
      </w:pPr>
      <w:r>
        <w:rPr>
          <w:color w:val="auto"/>
        </w:rPr>
        <w:fldChar w:fldCharType="begin"/>
      </w:r>
      <w:r>
        <w:rPr>
          <w:color w:val="auto"/>
        </w:rPr>
        <w:instrText xml:space="preserve"> HYPERLINK \l "_Toc3856" </w:instrText>
      </w:r>
      <w:r>
        <w:rPr>
          <w:color w:val="auto"/>
        </w:rPr>
        <w:fldChar w:fldCharType="separate"/>
      </w:r>
      <w:r>
        <w:rPr>
          <w:rFonts w:hint="eastAsia" w:ascii="宋体" w:hAnsi="宋体" w:cs="仿宋_GB2312"/>
          <w:color w:val="auto"/>
          <w:szCs w:val="21"/>
          <w:lang w:val="zh-CN"/>
        </w:rPr>
        <w:t>※</w:t>
      </w:r>
      <w:r>
        <w:rPr>
          <w:rFonts w:hint="eastAsia" w:ascii="宋体" w:hAnsi="宋体" w:cs="仿宋_GB2312"/>
          <w:color w:val="auto"/>
          <w:szCs w:val="21"/>
        </w:rPr>
        <w:t>二、</w:t>
      </w:r>
      <w:r>
        <w:rPr>
          <w:rFonts w:hint="eastAsia"/>
          <w:color w:val="auto"/>
          <w:szCs w:val="24"/>
        </w:rPr>
        <w:t>项目技术要求</w:t>
      </w:r>
      <w:r>
        <w:rPr>
          <w:color w:val="auto"/>
        </w:rPr>
        <w:tab/>
      </w:r>
      <w:r>
        <w:rPr>
          <w:color w:val="auto"/>
        </w:rPr>
        <w:fldChar w:fldCharType="begin"/>
      </w:r>
      <w:r>
        <w:rPr>
          <w:color w:val="auto"/>
        </w:rPr>
        <w:instrText xml:space="preserve"> PAGEREF _Toc3856 \h </w:instrText>
      </w:r>
      <w:r>
        <w:rPr>
          <w:color w:val="auto"/>
        </w:rPr>
        <w:fldChar w:fldCharType="separate"/>
      </w:r>
      <w:r>
        <w:rPr>
          <w:color w:val="auto"/>
        </w:rPr>
        <w:t>- 4 -</w:t>
      </w:r>
      <w:r>
        <w:rPr>
          <w:color w:val="auto"/>
        </w:rPr>
        <w:fldChar w:fldCharType="end"/>
      </w:r>
      <w:r>
        <w:rPr>
          <w:color w:val="auto"/>
        </w:rPr>
        <w:fldChar w:fldCharType="end"/>
      </w:r>
    </w:p>
    <w:p>
      <w:pPr>
        <w:pStyle w:val="14"/>
        <w:tabs>
          <w:tab w:val="right" w:leader="dot" w:pos="9412"/>
        </w:tabs>
        <w:ind w:left="560"/>
        <w:rPr>
          <w:color w:val="auto"/>
        </w:rPr>
      </w:pPr>
      <w:r>
        <w:rPr>
          <w:color w:val="auto"/>
        </w:rPr>
        <w:fldChar w:fldCharType="begin"/>
      </w:r>
      <w:r>
        <w:rPr>
          <w:color w:val="auto"/>
        </w:rPr>
        <w:instrText xml:space="preserve"> HYPERLINK \l "_Toc15901" </w:instrText>
      </w:r>
      <w:r>
        <w:rPr>
          <w:color w:val="auto"/>
        </w:rPr>
        <w:fldChar w:fldCharType="separate"/>
      </w:r>
      <w:r>
        <w:rPr>
          <w:rFonts w:hint="eastAsia" w:ascii="宋体" w:hAnsi="宋体" w:cs="宋体"/>
          <w:color w:val="auto"/>
          <w:szCs w:val="30"/>
        </w:rPr>
        <w:t>第三篇  项目商务需求</w:t>
      </w:r>
      <w:r>
        <w:rPr>
          <w:color w:val="auto"/>
        </w:rPr>
        <w:tab/>
      </w:r>
      <w:r>
        <w:rPr>
          <w:color w:val="auto"/>
        </w:rPr>
        <w:fldChar w:fldCharType="begin"/>
      </w:r>
      <w:r>
        <w:rPr>
          <w:color w:val="auto"/>
        </w:rPr>
        <w:instrText xml:space="preserve"> PAGEREF _Toc15901 \h </w:instrText>
      </w:r>
      <w:r>
        <w:rPr>
          <w:color w:val="auto"/>
        </w:rPr>
        <w:fldChar w:fldCharType="separate"/>
      </w:r>
      <w:r>
        <w:rPr>
          <w:color w:val="auto"/>
        </w:rPr>
        <w:t>- 5 -</w:t>
      </w:r>
      <w:r>
        <w:rPr>
          <w:color w:val="auto"/>
        </w:rPr>
        <w:fldChar w:fldCharType="end"/>
      </w:r>
      <w:r>
        <w:rPr>
          <w:color w:val="auto"/>
        </w:rPr>
        <w:fldChar w:fldCharType="end"/>
      </w:r>
    </w:p>
    <w:p>
      <w:pPr>
        <w:pStyle w:val="8"/>
        <w:tabs>
          <w:tab w:val="right" w:leader="dot" w:pos="9412"/>
        </w:tabs>
        <w:ind w:left="1120"/>
        <w:rPr>
          <w:color w:val="auto"/>
        </w:rPr>
      </w:pPr>
      <w:r>
        <w:rPr>
          <w:color w:val="auto"/>
        </w:rPr>
        <w:fldChar w:fldCharType="begin"/>
      </w:r>
      <w:r>
        <w:rPr>
          <w:color w:val="auto"/>
        </w:rPr>
        <w:instrText xml:space="preserve"> HYPERLINK \l "_Toc7079" </w:instrText>
      </w:r>
      <w:r>
        <w:rPr>
          <w:color w:val="auto"/>
        </w:rPr>
        <w:fldChar w:fldCharType="separate"/>
      </w:r>
      <w:r>
        <w:rPr>
          <w:rFonts w:hint="eastAsia" w:ascii="宋体" w:hAnsi="宋体" w:cs="宋体"/>
          <w:color w:val="auto"/>
          <w:szCs w:val="24"/>
        </w:rPr>
        <w:t>一、服务时间、实施地点、成果提交时间、验收方式</w:t>
      </w:r>
      <w:r>
        <w:rPr>
          <w:color w:val="auto"/>
        </w:rPr>
        <w:tab/>
      </w:r>
      <w:r>
        <w:rPr>
          <w:color w:val="auto"/>
        </w:rPr>
        <w:fldChar w:fldCharType="begin"/>
      </w:r>
      <w:r>
        <w:rPr>
          <w:color w:val="auto"/>
        </w:rPr>
        <w:instrText xml:space="preserve"> PAGEREF _Toc7079 \h </w:instrText>
      </w:r>
      <w:r>
        <w:rPr>
          <w:color w:val="auto"/>
        </w:rPr>
        <w:fldChar w:fldCharType="separate"/>
      </w:r>
      <w:r>
        <w:rPr>
          <w:color w:val="auto"/>
        </w:rPr>
        <w:t>- 5 -</w:t>
      </w:r>
      <w:r>
        <w:rPr>
          <w:color w:val="auto"/>
        </w:rPr>
        <w:fldChar w:fldCharType="end"/>
      </w:r>
      <w:r>
        <w:rPr>
          <w:color w:val="auto"/>
        </w:rPr>
        <w:fldChar w:fldCharType="end"/>
      </w:r>
    </w:p>
    <w:p>
      <w:pPr>
        <w:pStyle w:val="8"/>
        <w:tabs>
          <w:tab w:val="right" w:leader="dot" w:pos="9412"/>
        </w:tabs>
        <w:ind w:left="1120"/>
        <w:rPr>
          <w:color w:val="auto"/>
        </w:rPr>
      </w:pPr>
      <w:r>
        <w:rPr>
          <w:color w:val="auto"/>
        </w:rPr>
        <w:fldChar w:fldCharType="begin"/>
      </w:r>
      <w:r>
        <w:rPr>
          <w:color w:val="auto"/>
        </w:rPr>
        <w:instrText xml:space="preserve"> HYPERLINK \l "_Toc18851" </w:instrText>
      </w:r>
      <w:r>
        <w:rPr>
          <w:color w:val="auto"/>
        </w:rPr>
        <w:fldChar w:fldCharType="separate"/>
      </w:r>
      <w:r>
        <w:rPr>
          <w:rFonts w:hint="eastAsia" w:ascii="宋体" w:hAnsi="宋体" w:cs="宋体"/>
          <w:color w:val="auto"/>
          <w:szCs w:val="24"/>
        </w:rPr>
        <w:t>二、报价要求</w:t>
      </w:r>
      <w:r>
        <w:rPr>
          <w:color w:val="auto"/>
        </w:rPr>
        <w:tab/>
      </w:r>
      <w:r>
        <w:rPr>
          <w:color w:val="auto"/>
        </w:rPr>
        <w:fldChar w:fldCharType="begin"/>
      </w:r>
      <w:r>
        <w:rPr>
          <w:color w:val="auto"/>
        </w:rPr>
        <w:instrText xml:space="preserve"> PAGEREF _Toc18851 \h </w:instrText>
      </w:r>
      <w:r>
        <w:rPr>
          <w:color w:val="auto"/>
        </w:rPr>
        <w:fldChar w:fldCharType="separate"/>
      </w:r>
      <w:r>
        <w:rPr>
          <w:color w:val="auto"/>
        </w:rPr>
        <w:t>- 5 -</w:t>
      </w:r>
      <w:r>
        <w:rPr>
          <w:color w:val="auto"/>
        </w:rPr>
        <w:fldChar w:fldCharType="end"/>
      </w:r>
      <w:r>
        <w:rPr>
          <w:color w:val="auto"/>
        </w:rPr>
        <w:fldChar w:fldCharType="end"/>
      </w:r>
    </w:p>
    <w:p>
      <w:pPr>
        <w:pStyle w:val="8"/>
        <w:tabs>
          <w:tab w:val="right" w:leader="dot" w:pos="9412"/>
        </w:tabs>
        <w:ind w:left="1120"/>
        <w:rPr>
          <w:color w:val="auto"/>
        </w:rPr>
      </w:pPr>
      <w:r>
        <w:rPr>
          <w:color w:val="auto"/>
        </w:rPr>
        <w:fldChar w:fldCharType="begin"/>
      </w:r>
      <w:r>
        <w:rPr>
          <w:color w:val="auto"/>
        </w:rPr>
        <w:instrText xml:space="preserve"> HYPERLINK \l "_Toc6096" </w:instrText>
      </w:r>
      <w:r>
        <w:rPr>
          <w:color w:val="auto"/>
        </w:rPr>
        <w:fldChar w:fldCharType="separate"/>
      </w:r>
      <w:r>
        <w:rPr>
          <w:rFonts w:hint="eastAsia" w:ascii="宋体" w:hAnsi="宋体" w:cs="宋体"/>
          <w:color w:val="auto"/>
          <w:szCs w:val="24"/>
        </w:rPr>
        <w:t>三、付款方式</w:t>
      </w:r>
      <w:r>
        <w:rPr>
          <w:color w:val="auto"/>
        </w:rPr>
        <w:tab/>
      </w:r>
      <w:r>
        <w:rPr>
          <w:color w:val="auto"/>
        </w:rPr>
        <w:fldChar w:fldCharType="begin"/>
      </w:r>
      <w:r>
        <w:rPr>
          <w:color w:val="auto"/>
        </w:rPr>
        <w:instrText xml:space="preserve"> PAGEREF _Toc6096 \h </w:instrText>
      </w:r>
      <w:r>
        <w:rPr>
          <w:color w:val="auto"/>
        </w:rPr>
        <w:fldChar w:fldCharType="separate"/>
      </w:r>
      <w:r>
        <w:rPr>
          <w:color w:val="auto"/>
        </w:rPr>
        <w:t>- 5 -</w:t>
      </w:r>
      <w:r>
        <w:rPr>
          <w:color w:val="auto"/>
        </w:rPr>
        <w:fldChar w:fldCharType="end"/>
      </w:r>
      <w:r>
        <w:rPr>
          <w:color w:val="auto"/>
        </w:rPr>
        <w:fldChar w:fldCharType="end"/>
      </w:r>
    </w:p>
    <w:p>
      <w:pPr>
        <w:pStyle w:val="8"/>
        <w:tabs>
          <w:tab w:val="right" w:leader="dot" w:pos="9412"/>
        </w:tabs>
        <w:ind w:left="1120"/>
        <w:rPr>
          <w:color w:val="auto"/>
        </w:rPr>
      </w:pPr>
      <w:r>
        <w:rPr>
          <w:color w:val="auto"/>
        </w:rPr>
        <w:fldChar w:fldCharType="begin"/>
      </w:r>
      <w:r>
        <w:rPr>
          <w:color w:val="auto"/>
        </w:rPr>
        <w:instrText xml:space="preserve"> HYPERLINK \l "_Toc24854" </w:instrText>
      </w:r>
      <w:r>
        <w:rPr>
          <w:color w:val="auto"/>
        </w:rPr>
        <w:fldChar w:fldCharType="separate"/>
      </w:r>
      <w:r>
        <w:rPr>
          <w:rFonts w:hint="eastAsia" w:ascii="宋体" w:hAnsi="宋体" w:cs="宋体"/>
          <w:color w:val="auto"/>
          <w:szCs w:val="24"/>
        </w:rPr>
        <w:t>四、质量保证及服务要求</w:t>
      </w:r>
      <w:r>
        <w:rPr>
          <w:color w:val="auto"/>
        </w:rPr>
        <w:tab/>
      </w:r>
      <w:r>
        <w:rPr>
          <w:color w:val="auto"/>
        </w:rPr>
        <w:fldChar w:fldCharType="begin"/>
      </w:r>
      <w:r>
        <w:rPr>
          <w:color w:val="auto"/>
        </w:rPr>
        <w:instrText xml:space="preserve"> PAGEREF _Toc24854 \h </w:instrText>
      </w:r>
      <w:r>
        <w:rPr>
          <w:color w:val="auto"/>
        </w:rPr>
        <w:fldChar w:fldCharType="separate"/>
      </w:r>
      <w:r>
        <w:rPr>
          <w:color w:val="auto"/>
        </w:rPr>
        <w:t>- 5 -</w:t>
      </w:r>
      <w:r>
        <w:rPr>
          <w:color w:val="auto"/>
        </w:rPr>
        <w:fldChar w:fldCharType="end"/>
      </w:r>
      <w:r>
        <w:rPr>
          <w:color w:val="auto"/>
        </w:rPr>
        <w:fldChar w:fldCharType="end"/>
      </w:r>
    </w:p>
    <w:p>
      <w:pPr>
        <w:pStyle w:val="8"/>
        <w:tabs>
          <w:tab w:val="right" w:leader="dot" w:pos="9412"/>
        </w:tabs>
        <w:ind w:left="1120"/>
        <w:rPr>
          <w:color w:val="auto"/>
        </w:rPr>
      </w:pPr>
      <w:r>
        <w:rPr>
          <w:color w:val="auto"/>
        </w:rPr>
        <w:fldChar w:fldCharType="begin"/>
      </w:r>
      <w:r>
        <w:rPr>
          <w:color w:val="auto"/>
        </w:rPr>
        <w:instrText xml:space="preserve"> HYPERLINK \l "_Toc30033" </w:instrText>
      </w:r>
      <w:r>
        <w:rPr>
          <w:color w:val="auto"/>
        </w:rPr>
        <w:fldChar w:fldCharType="separate"/>
      </w:r>
      <w:r>
        <w:rPr>
          <w:rFonts w:hint="eastAsia" w:ascii="宋体" w:hAnsi="宋体" w:cs="宋体"/>
          <w:color w:val="auto"/>
          <w:szCs w:val="24"/>
        </w:rPr>
        <w:t>五、知识产权</w:t>
      </w:r>
      <w:r>
        <w:rPr>
          <w:color w:val="auto"/>
        </w:rPr>
        <w:tab/>
      </w:r>
      <w:r>
        <w:rPr>
          <w:color w:val="auto"/>
        </w:rPr>
        <w:fldChar w:fldCharType="begin"/>
      </w:r>
      <w:r>
        <w:rPr>
          <w:color w:val="auto"/>
        </w:rPr>
        <w:instrText xml:space="preserve"> PAGEREF _Toc30033 \h </w:instrText>
      </w:r>
      <w:r>
        <w:rPr>
          <w:color w:val="auto"/>
        </w:rPr>
        <w:fldChar w:fldCharType="separate"/>
      </w:r>
      <w:r>
        <w:rPr>
          <w:color w:val="auto"/>
        </w:rPr>
        <w:t>- 6 -</w:t>
      </w:r>
      <w:r>
        <w:rPr>
          <w:color w:val="auto"/>
        </w:rPr>
        <w:fldChar w:fldCharType="end"/>
      </w:r>
      <w:r>
        <w:rPr>
          <w:color w:val="auto"/>
        </w:rPr>
        <w:fldChar w:fldCharType="end"/>
      </w:r>
    </w:p>
    <w:p>
      <w:pPr>
        <w:pStyle w:val="8"/>
        <w:tabs>
          <w:tab w:val="right" w:leader="dot" w:pos="9412"/>
        </w:tabs>
        <w:ind w:left="1120"/>
        <w:rPr>
          <w:color w:val="auto"/>
        </w:rPr>
      </w:pPr>
      <w:r>
        <w:rPr>
          <w:color w:val="auto"/>
        </w:rPr>
        <w:fldChar w:fldCharType="begin"/>
      </w:r>
      <w:r>
        <w:rPr>
          <w:color w:val="auto"/>
        </w:rPr>
        <w:instrText xml:space="preserve"> HYPERLINK \l "_Toc1579" </w:instrText>
      </w:r>
      <w:r>
        <w:rPr>
          <w:color w:val="auto"/>
        </w:rPr>
        <w:fldChar w:fldCharType="separate"/>
      </w:r>
      <w:r>
        <w:rPr>
          <w:rFonts w:hint="eastAsia" w:ascii="宋体" w:hAnsi="宋体" w:cs="宋体"/>
          <w:color w:val="auto"/>
          <w:szCs w:val="24"/>
        </w:rPr>
        <w:t>六、培训</w:t>
      </w:r>
      <w:r>
        <w:rPr>
          <w:color w:val="auto"/>
        </w:rPr>
        <w:tab/>
      </w:r>
      <w:r>
        <w:rPr>
          <w:color w:val="auto"/>
        </w:rPr>
        <w:fldChar w:fldCharType="begin"/>
      </w:r>
      <w:r>
        <w:rPr>
          <w:color w:val="auto"/>
        </w:rPr>
        <w:instrText xml:space="preserve"> PAGEREF _Toc1579 \h </w:instrText>
      </w:r>
      <w:r>
        <w:rPr>
          <w:color w:val="auto"/>
        </w:rPr>
        <w:fldChar w:fldCharType="separate"/>
      </w:r>
      <w:r>
        <w:rPr>
          <w:color w:val="auto"/>
        </w:rPr>
        <w:t>- 6 -</w:t>
      </w:r>
      <w:r>
        <w:rPr>
          <w:color w:val="auto"/>
        </w:rPr>
        <w:fldChar w:fldCharType="end"/>
      </w:r>
      <w:r>
        <w:rPr>
          <w:color w:val="auto"/>
        </w:rPr>
        <w:fldChar w:fldCharType="end"/>
      </w:r>
    </w:p>
    <w:p>
      <w:pPr>
        <w:pStyle w:val="8"/>
        <w:tabs>
          <w:tab w:val="right" w:leader="dot" w:pos="9412"/>
        </w:tabs>
        <w:ind w:left="1120"/>
        <w:rPr>
          <w:color w:val="auto"/>
        </w:rPr>
      </w:pPr>
      <w:r>
        <w:rPr>
          <w:color w:val="auto"/>
        </w:rPr>
        <w:fldChar w:fldCharType="begin"/>
      </w:r>
      <w:r>
        <w:rPr>
          <w:color w:val="auto"/>
        </w:rPr>
        <w:instrText xml:space="preserve"> HYPERLINK \l "_Toc20966" </w:instrText>
      </w:r>
      <w:r>
        <w:rPr>
          <w:color w:val="auto"/>
        </w:rPr>
        <w:fldChar w:fldCharType="separate"/>
      </w:r>
      <w:r>
        <w:rPr>
          <w:rFonts w:hint="eastAsia" w:ascii="宋体" w:hAnsi="宋体" w:cs="宋体"/>
          <w:color w:val="auto"/>
          <w:szCs w:val="24"/>
        </w:rPr>
        <w:t>七、其他</w:t>
      </w:r>
      <w:r>
        <w:rPr>
          <w:color w:val="auto"/>
        </w:rPr>
        <w:tab/>
      </w:r>
      <w:r>
        <w:rPr>
          <w:color w:val="auto"/>
        </w:rPr>
        <w:fldChar w:fldCharType="begin"/>
      </w:r>
      <w:r>
        <w:rPr>
          <w:color w:val="auto"/>
        </w:rPr>
        <w:instrText xml:space="preserve"> PAGEREF _Toc20966 \h </w:instrText>
      </w:r>
      <w:r>
        <w:rPr>
          <w:color w:val="auto"/>
        </w:rPr>
        <w:fldChar w:fldCharType="separate"/>
      </w:r>
      <w:r>
        <w:rPr>
          <w:color w:val="auto"/>
        </w:rPr>
        <w:t>- 6 -</w:t>
      </w:r>
      <w:r>
        <w:rPr>
          <w:color w:val="auto"/>
        </w:rPr>
        <w:fldChar w:fldCharType="end"/>
      </w:r>
      <w:r>
        <w:rPr>
          <w:color w:val="auto"/>
        </w:rPr>
        <w:fldChar w:fldCharType="end"/>
      </w:r>
    </w:p>
    <w:p>
      <w:pPr>
        <w:pStyle w:val="14"/>
        <w:tabs>
          <w:tab w:val="right" w:leader="dot" w:pos="9412"/>
        </w:tabs>
        <w:ind w:left="560"/>
        <w:rPr>
          <w:color w:val="auto"/>
        </w:rPr>
      </w:pPr>
      <w:r>
        <w:rPr>
          <w:color w:val="auto"/>
        </w:rPr>
        <w:fldChar w:fldCharType="begin"/>
      </w:r>
      <w:r>
        <w:rPr>
          <w:color w:val="auto"/>
        </w:rPr>
        <w:instrText xml:space="preserve"> HYPERLINK \l "_Toc32522" </w:instrText>
      </w:r>
      <w:r>
        <w:rPr>
          <w:color w:val="auto"/>
        </w:rPr>
        <w:fldChar w:fldCharType="separate"/>
      </w:r>
      <w:r>
        <w:rPr>
          <w:rFonts w:hint="eastAsia" w:ascii="宋体" w:hAnsi="宋体" w:cs="宋体"/>
          <w:color w:val="auto"/>
          <w:szCs w:val="30"/>
        </w:rPr>
        <w:t>第四篇  磋商程序及方法、评审标准、无效响应和</w:t>
      </w:r>
      <w:r>
        <w:rPr>
          <w:rFonts w:hint="eastAsia" w:ascii="宋体" w:hAnsi="宋体" w:cs="宋体"/>
          <w:color w:val="auto"/>
          <w:szCs w:val="36"/>
        </w:rPr>
        <w:t>采购终止</w:t>
      </w:r>
      <w:r>
        <w:rPr>
          <w:color w:val="auto"/>
        </w:rPr>
        <w:tab/>
      </w:r>
      <w:r>
        <w:rPr>
          <w:color w:val="auto"/>
        </w:rPr>
        <w:fldChar w:fldCharType="begin"/>
      </w:r>
      <w:r>
        <w:rPr>
          <w:color w:val="auto"/>
        </w:rPr>
        <w:instrText xml:space="preserve"> PAGEREF _Toc32522 \h </w:instrText>
      </w:r>
      <w:r>
        <w:rPr>
          <w:color w:val="auto"/>
        </w:rPr>
        <w:fldChar w:fldCharType="separate"/>
      </w:r>
      <w:r>
        <w:rPr>
          <w:color w:val="auto"/>
        </w:rPr>
        <w:t>- 7 -</w:t>
      </w:r>
      <w:r>
        <w:rPr>
          <w:color w:val="auto"/>
        </w:rPr>
        <w:fldChar w:fldCharType="end"/>
      </w:r>
      <w:r>
        <w:rPr>
          <w:color w:val="auto"/>
        </w:rPr>
        <w:fldChar w:fldCharType="end"/>
      </w:r>
    </w:p>
    <w:p>
      <w:pPr>
        <w:pStyle w:val="8"/>
        <w:tabs>
          <w:tab w:val="right" w:leader="dot" w:pos="9412"/>
        </w:tabs>
        <w:ind w:left="1120"/>
        <w:rPr>
          <w:color w:val="auto"/>
        </w:rPr>
      </w:pPr>
      <w:r>
        <w:rPr>
          <w:color w:val="auto"/>
        </w:rPr>
        <w:fldChar w:fldCharType="begin"/>
      </w:r>
      <w:r>
        <w:rPr>
          <w:color w:val="auto"/>
        </w:rPr>
        <w:instrText xml:space="preserve"> HYPERLINK \l "_Toc25872" </w:instrText>
      </w:r>
      <w:r>
        <w:rPr>
          <w:color w:val="auto"/>
        </w:rPr>
        <w:fldChar w:fldCharType="separate"/>
      </w:r>
      <w:r>
        <w:rPr>
          <w:rFonts w:hint="eastAsia" w:ascii="宋体" w:hAnsi="宋体" w:cs="宋体"/>
          <w:color w:val="auto"/>
          <w:szCs w:val="24"/>
        </w:rPr>
        <w:t>一、磋商程序及方法</w:t>
      </w:r>
      <w:r>
        <w:rPr>
          <w:color w:val="auto"/>
        </w:rPr>
        <w:tab/>
      </w:r>
      <w:r>
        <w:rPr>
          <w:color w:val="auto"/>
        </w:rPr>
        <w:fldChar w:fldCharType="begin"/>
      </w:r>
      <w:r>
        <w:rPr>
          <w:color w:val="auto"/>
        </w:rPr>
        <w:instrText xml:space="preserve"> PAGEREF _Toc25872 \h </w:instrText>
      </w:r>
      <w:r>
        <w:rPr>
          <w:color w:val="auto"/>
        </w:rPr>
        <w:fldChar w:fldCharType="separate"/>
      </w:r>
      <w:r>
        <w:rPr>
          <w:color w:val="auto"/>
        </w:rPr>
        <w:t>- 7 -</w:t>
      </w:r>
      <w:r>
        <w:rPr>
          <w:color w:val="auto"/>
        </w:rPr>
        <w:fldChar w:fldCharType="end"/>
      </w:r>
      <w:r>
        <w:rPr>
          <w:color w:val="auto"/>
        </w:rPr>
        <w:fldChar w:fldCharType="end"/>
      </w:r>
    </w:p>
    <w:p>
      <w:pPr>
        <w:pStyle w:val="8"/>
        <w:tabs>
          <w:tab w:val="right" w:leader="dot" w:pos="9412"/>
        </w:tabs>
        <w:ind w:left="1120"/>
        <w:rPr>
          <w:color w:val="auto"/>
        </w:rPr>
      </w:pPr>
      <w:r>
        <w:rPr>
          <w:color w:val="auto"/>
        </w:rPr>
        <w:fldChar w:fldCharType="begin"/>
      </w:r>
      <w:r>
        <w:rPr>
          <w:color w:val="auto"/>
        </w:rPr>
        <w:instrText xml:space="preserve"> HYPERLINK \l "_Toc20315" </w:instrText>
      </w:r>
      <w:r>
        <w:rPr>
          <w:color w:val="auto"/>
        </w:rPr>
        <w:fldChar w:fldCharType="separate"/>
      </w:r>
      <w:r>
        <w:rPr>
          <w:rFonts w:hint="eastAsia" w:ascii="宋体" w:hAnsi="宋体" w:cs="宋体"/>
          <w:color w:val="auto"/>
          <w:szCs w:val="24"/>
        </w:rPr>
        <w:t>二、评审标准</w:t>
      </w:r>
      <w:r>
        <w:rPr>
          <w:color w:val="auto"/>
        </w:rPr>
        <w:tab/>
      </w:r>
      <w:r>
        <w:rPr>
          <w:color w:val="auto"/>
        </w:rPr>
        <w:fldChar w:fldCharType="begin"/>
      </w:r>
      <w:r>
        <w:rPr>
          <w:color w:val="auto"/>
        </w:rPr>
        <w:instrText xml:space="preserve"> PAGEREF _Toc20315 \h </w:instrText>
      </w:r>
      <w:r>
        <w:rPr>
          <w:color w:val="auto"/>
        </w:rPr>
        <w:fldChar w:fldCharType="separate"/>
      </w:r>
      <w:r>
        <w:rPr>
          <w:color w:val="auto"/>
        </w:rPr>
        <w:t>- 9 -</w:t>
      </w:r>
      <w:r>
        <w:rPr>
          <w:color w:val="auto"/>
        </w:rPr>
        <w:fldChar w:fldCharType="end"/>
      </w:r>
      <w:r>
        <w:rPr>
          <w:color w:val="auto"/>
        </w:rPr>
        <w:fldChar w:fldCharType="end"/>
      </w:r>
    </w:p>
    <w:p>
      <w:pPr>
        <w:pStyle w:val="8"/>
        <w:tabs>
          <w:tab w:val="right" w:leader="dot" w:pos="9412"/>
        </w:tabs>
        <w:ind w:left="1120"/>
        <w:rPr>
          <w:color w:val="auto"/>
        </w:rPr>
      </w:pPr>
      <w:r>
        <w:rPr>
          <w:color w:val="auto"/>
        </w:rPr>
        <w:fldChar w:fldCharType="begin"/>
      </w:r>
      <w:r>
        <w:rPr>
          <w:color w:val="auto"/>
        </w:rPr>
        <w:instrText xml:space="preserve"> HYPERLINK \l "_Toc19798" </w:instrText>
      </w:r>
      <w:r>
        <w:rPr>
          <w:color w:val="auto"/>
        </w:rPr>
        <w:fldChar w:fldCharType="separate"/>
      </w:r>
      <w:r>
        <w:rPr>
          <w:rFonts w:hint="eastAsia" w:ascii="宋体" w:hAnsi="宋体" w:cs="宋体"/>
          <w:color w:val="auto"/>
          <w:szCs w:val="24"/>
        </w:rPr>
        <w:t>三、无效响应</w:t>
      </w:r>
      <w:r>
        <w:rPr>
          <w:color w:val="auto"/>
        </w:rPr>
        <w:tab/>
      </w:r>
      <w:r>
        <w:rPr>
          <w:color w:val="auto"/>
        </w:rPr>
        <w:fldChar w:fldCharType="begin"/>
      </w:r>
      <w:r>
        <w:rPr>
          <w:color w:val="auto"/>
        </w:rPr>
        <w:instrText xml:space="preserve"> PAGEREF _Toc19798 \h </w:instrText>
      </w:r>
      <w:r>
        <w:rPr>
          <w:color w:val="auto"/>
        </w:rPr>
        <w:fldChar w:fldCharType="separate"/>
      </w:r>
      <w:r>
        <w:rPr>
          <w:color w:val="auto"/>
        </w:rPr>
        <w:t>- 10 -</w:t>
      </w:r>
      <w:r>
        <w:rPr>
          <w:color w:val="auto"/>
        </w:rPr>
        <w:fldChar w:fldCharType="end"/>
      </w:r>
      <w:r>
        <w:rPr>
          <w:color w:val="auto"/>
        </w:rPr>
        <w:fldChar w:fldCharType="end"/>
      </w:r>
    </w:p>
    <w:p>
      <w:pPr>
        <w:pStyle w:val="8"/>
        <w:tabs>
          <w:tab w:val="right" w:leader="dot" w:pos="9412"/>
        </w:tabs>
        <w:ind w:left="1120"/>
        <w:rPr>
          <w:color w:val="auto"/>
        </w:rPr>
      </w:pPr>
      <w:r>
        <w:rPr>
          <w:color w:val="auto"/>
        </w:rPr>
        <w:fldChar w:fldCharType="begin"/>
      </w:r>
      <w:r>
        <w:rPr>
          <w:color w:val="auto"/>
        </w:rPr>
        <w:instrText xml:space="preserve"> HYPERLINK \l "_Toc9982" </w:instrText>
      </w:r>
      <w:r>
        <w:rPr>
          <w:color w:val="auto"/>
        </w:rPr>
        <w:fldChar w:fldCharType="separate"/>
      </w:r>
      <w:r>
        <w:rPr>
          <w:rFonts w:hint="eastAsia" w:ascii="宋体" w:hAnsi="宋体" w:cs="宋体"/>
          <w:color w:val="auto"/>
          <w:szCs w:val="24"/>
        </w:rPr>
        <w:t>四、采购终止</w:t>
      </w:r>
      <w:r>
        <w:rPr>
          <w:color w:val="auto"/>
        </w:rPr>
        <w:tab/>
      </w:r>
      <w:r>
        <w:rPr>
          <w:color w:val="auto"/>
        </w:rPr>
        <w:fldChar w:fldCharType="begin"/>
      </w:r>
      <w:r>
        <w:rPr>
          <w:color w:val="auto"/>
        </w:rPr>
        <w:instrText xml:space="preserve"> PAGEREF _Toc9982 \h </w:instrText>
      </w:r>
      <w:r>
        <w:rPr>
          <w:color w:val="auto"/>
        </w:rPr>
        <w:fldChar w:fldCharType="separate"/>
      </w:r>
      <w:r>
        <w:rPr>
          <w:color w:val="auto"/>
        </w:rPr>
        <w:t>- 10 -</w:t>
      </w:r>
      <w:r>
        <w:rPr>
          <w:color w:val="auto"/>
        </w:rPr>
        <w:fldChar w:fldCharType="end"/>
      </w:r>
      <w:r>
        <w:rPr>
          <w:color w:val="auto"/>
        </w:rPr>
        <w:fldChar w:fldCharType="end"/>
      </w:r>
    </w:p>
    <w:p>
      <w:pPr>
        <w:pStyle w:val="14"/>
        <w:tabs>
          <w:tab w:val="right" w:leader="dot" w:pos="9412"/>
        </w:tabs>
        <w:ind w:left="560"/>
        <w:rPr>
          <w:color w:val="auto"/>
        </w:rPr>
      </w:pPr>
      <w:r>
        <w:rPr>
          <w:color w:val="auto"/>
        </w:rPr>
        <w:fldChar w:fldCharType="begin"/>
      </w:r>
      <w:r>
        <w:rPr>
          <w:color w:val="auto"/>
        </w:rPr>
        <w:instrText xml:space="preserve"> HYPERLINK \l "_Toc16555" </w:instrText>
      </w:r>
      <w:r>
        <w:rPr>
          <w:color w:val="auto"/>
        </w:rPr>
        <w:fldChar w:fldCharType="separate"/>
      </w:r>
      <w:r>
        <w:rPr>
          <w:rFonts w:hint="eastAsia" w:ascii="宋体" w:hAnsi="宋体" w:cs="宋体"/>
          <w:color w:val="auto"/>
          <w:szCs w:val="30"/>
        </w:rPr>
        <w:t>第五篇  供应商须知</w:t>
      </w:r>
      <w:r>
        <w:rPr>
          <w:color w:val="auto"/>
        </w:rPr>
        <w:tab/>
      </w:r>
      <w:r>
        <w:rPr>
          <w:color w:val="auto"/>
        </w:rPr>
        <w:fldChar w:fldCharType="begin"/>
      </w:r>
      <w:r>
        <w:rPr>
          <w:color w:val="auto"/>
        </w:rPr>
        <w:instrText xml:space="preserve"> PAGEREF _Toc16555 \h </w:instrText>
      </w:r>
      <w:r>
        <w:rPr>
          <w:color w:val="auto"/>
        </w:rPr>
        <w:fldChar w:fldCharType="separate"/>
      </w:r>
      <w:r>
        <w:rPr>
          <w:color w:val="auto"/>
        </w:rPr>
        <w:t>- 11 -</w:t>
      </w:r>
      <w:r>
        <w:rPr>
          <w:color w:val="auto"/>
        </w:rPr>
        <w:fldChar w:fldCharType="end"/>
      </w:r>
      <w:r>
        <w:rPr>
          <w:color w:val="auto"/>
        </w:rPr>
        <w:fldChar w:fldCharType="end"/>
      </w:r>
    </w:p>
    <w:p>
      <w:pPr>
        <w:pStyle w:val="8"/>
        <w:tabs>
          <w:tab w:val="right" w:leader="dot" w:pos="9412"/>
        </w:tabs>
        <w:ind w:left="1120"/>
        <w:rPr>
          <w:color w:val="auto"/>
        </w:rPr>
      </w:pPr>
      <w:r>
        <w:rPr>
          <w:color w:val="auto"/>
        </w:rPr>
        <w:fldChar w:fldCharType="begin"/>
      </w:r>
      <w:r>
        <w:rPr>
          <w:color w:val="auto"/>
        </w:rPr>
        <w:instrText xml:space="preserve"> HYPERLINK \l "_Toc23400" </w:instrText>
      </w:r>
      <w:r>
        <w:rPr>
          <w:color w:val="auto"/>
        </w:rPr>
        <w:fldChar w:fldCharType="separate"/>
      </w:r>
      <w:r>
        <w:rPr>
          <w:rFonts w:hint="eastAsia" w:ascii="宋体" w:hAnsi="宋体" w:cs="宋体"/>
          <w:color w:val="auto"/>
          <w:szCs w:val="24"/>
        </w:rPr>
        <w:t>一、磋商费用</w:t>
      </w:r>
      <w:r>
        <w:rPr>
          <w:color w:val="auto"/>
        </w:rPr>
        <w:tab/>
      </w:r>
      <w:r>
        <w:rPr>
          <w:color w:val="auto"/>
        </w:rPr>
        <w:fldChar w:fldCharType="begin"/>
      </w:r>
      <w:r>
        <w:rPr>
          <w:color w:val="auto"/>
        </w:rPr>
        <w:instrText xml:space="preserve"> PAGEREF _Toc23400 \h </w:instrText>
      </w:r>
      <w:r>
        <w:rPr>
          <w:color w:val="auto"/>
        </w:rPr>
        <w:fldChar w:fldCharType="separate"/>
      </w:r>
      <w:r>
        <w:rPr>
          <w:color w:val="auto"/>
        </w:rPr>
        <w:t>- 11 -</w:t>
      </w:r>
      <w:r>
        <w:rPr>
          <w:color w:val="auto"/>
        </w:rPr>
        <w:fldChar w:fldCharType="end"/>
      </w:r>
      <w:r>
        <w:rPr>
          <w:color w:val="auto"/>
        </w:rPr>
        <w:fldChar w:fldCharType="end"/>
      </w:r>
    </w:p>
    <w:p>
      <w:pPr>
        <w:pStyle w:val="8"/>
        <w:tabs>
          <w:tab w:val="right" w:leader="dot" w:pos="9412"/>
        </w:tabs>
        <w:ind w:left="1120"/>
        <w:rPr>
          <w:color w:val="auto"/>
        </w:rPr>
      </w:pPr>
      <w:r>
        <w:rPr>
          <w:color w:val="auto"/>
        </w:rPr>
        <w:fldChar w:fldCharType="begin"/>
      </w:r>
      <w:r>
        <w:rPr>
          <w:color w:val="auto"/>
        </w:rPr>
        <w:instrText xml:space="preserve"> HYPERLINK \l "_Toc206" </w:instrText>
      </w:r>
      <w:r>
        <w:rPr>
          <w:color w:val="auto"/>
        </w:rPr>
        <w:fldChar w:fldCharType="separate"/>
      </w:r>
      <w:r>
        <w:rPr>
          <w:rFonts w:hint="eastAsia" w:ascii="宋体" w:hAnsi="宋体" w:cs="宋体"/>
          <w:color w:val="auto"/>
          <w:szCs w:val="24"/>
        </w:rPr>
        <w:t>二、竞争性磋商文件</w:t>
      </w:r>
      <w:r>
        <w:rPr>
          <w:color w:val="auto"/>
        </w:rPr>
        <w:tab/>
      </w:r>
      <w:r>
        <w:rPr>
          <w:color w:val="auto"/>
        </w:rPr>
        <w:fldChar w:fldCharType="begin"/>
      </w:r>
      <w:r>
        <w:rPr>
          <w:color w:val="auto"/>
        </w:rPr>
        <w:instrText xml:space="preserve"> PAGEREF _Toc206 \h </w:instrText>
      </w:r>
      <w:r>
        <w:rPr>
          <w:color w:val="auto"/>
        </w:rPr>
        <w:fldChar w:fldCharType="separate"/>
      </w:r>
      <w:r>
        <w:rPr>
          <w:color w:val="auto"/>
        </w:rPr>
        <w:t>- 11 -</w:t>
      </w:r>
      <w:r>
        <w:rPr>
          <w:color w:val="auto"/>
        </w:rPr>
        <w:fldChar w:fldCharType="end"/>
      </w:r>
      <w:r>
        <w:rPr>
          <w:color w:val="auto"/>
        </w:rPr>
        <w:fldChar w:fldCharType="end"/>
      </w:r>
    </w:p>
    <w:p>
      <w:pPr>
        <w:pStyle w:val="8"/>
        <w:tabs>
          <w:tab w:val="right" w:leader="dot" w:pos="9412"/>
        </w:tabs>
        <w:ind w:left="1120"/>
        <w:rPr>
          <w:color w:val="auto"/>
        </w:rPr>
      </w:pPr>
      <w:r>
        <w:rPr>
          <w:color w:val="auto"/>
        </w:rPr>
        <w:fldChar w:fldCharType="begin"/>
      </w:r>
      <w:r>
        <w:rPr>
          <w:color w:val="auto"/>
        </w:rPr>
        <w:instrText xml:space="preserve"> HYPERLINK \l "_Toc26870" </w:instrText>
      </w:r>
      <w:r>
        <w:rPr>
          <w:color w:val="auto"/>
        </w:rPr>
        <w:fldChar w:fldCharType="separate"/>
      </w:r>
      <w:r>
        <w:rPr>
          <w:rFonts w:hint="eastAsia" w:ascii="宋体" w:hAnsi="宋体" w:cs="宋体"/>
          <w:color w:val="auto"/>
          <w:szCs w:val="24"/>
        </w:rPr>
        <w:t>三、磋商要求</w:t>
      </w:r>
      <w:r>
        <w:rPr>
          <w:color w:val="auto"/>
        </w:rPr>
        <w:tab/>
      </w:r>
      <w:r>
        <w:rPr>
          <w:color w:val="auto"/>
        </w:rPr>
        <w:fldChar w:fldCharType="begin"/>
      </w:r>
      <w:r>
        <w:rPr>
          <w:color w:val="auto"/>
        </w:rPr>
        <w:instrText xml:space="preserve"> PAGEREF _Toc26870 \h </w:instrText>
      </w:r>
      <w:r>
        <w:rPr>
          <w:color w:val="auto"/>
        </w:rPr>
        <w:fldChar w:fldCharType="separate"/>
      </w:r>
      <w:r>
        <w:rPr>
          <w:color w:val="auto"/>
        </w:rPr>
        <w:t>- 11 -</w:t>
      </w:r>
      <w:r>
        <w:rPr>
          <w:color w:val="auto"/>
        </w:rPr>
        <w:fldChar w:fldCharType="end"/>
      </w:r>
      <w:r>
        <w:rPr>
          <w:color w:val="auto"/>
        </w:rPr>
        <w:fldChar w:fldCharType="end"/>
      </w:r>
    </w:p>
    <w:p>
      <w:pPr>
        <w:pStyle w:val="8"/>
        <w:tabs>
          <w:tab w:val="right" w:leader="dot" w:pos="9412"/>
        </w:tabs>
        <w:ind w:left="1120"/>
        <w:rPr>
          <w:color w:val="auto"/>
        </w:rPr>
      </w:pPr>
      <w:r>
        <w:rPr>
          <w:color w:val="auto"/>
        </w:rPr>
        <w:fldChar w:fldCharType="begin"/>
      </w:r>
      <w:r>
        <w:rPr>
          <w:color w:val="auto"/>
        </w:rPr>
        <w:instrText xml:space="preserve"> HYPERLINK \l "_Toc15328" </w:instrText>
      </w:r>
      <w:r>
        <w:rPr>
          <w:color w:val="auto"/>
        </w:rPr>
        <w:fldChar w:fldCharType="separate"/>
      </w:r>
      <w:r>
        <w:rPr>
          <w:rFonts w:hint="eastAsia" w:ascii="宋体" w:hAnsi="宋体" w:cs="宋体"/>
          <w:color w:val="auto"/>
          <w:szCs w:val="24"/>
        </w:rPr>
        <w:t>四、成交供应商的确认和变更</w:t>
      </w:r>
      <w:r>
        <w:rPr>
          <w:color w:val="auto"/>
        </w:rPr>
        <w:tab/>
      </w:r>
      <w:r>
        <w:rPr>
          <w:color w:val="auto"/>
        </w:rPr>
        <w:fldChar w:fldCharType="begin"/>
      </w:r>
      <w:r>
        <w:rPr>
          <w:color w:val="auto"/>
        </w:rPr>
        <w:instrText xml:space="preserve"> PAGEREF _Toc15328 \h </w:instrText>
      </w:r>
      <w:r>
        <w:rPr>
          <w:color w:val="auto"/>
        </w:rPr>
        <w:fldChar w:fldCharType="separate"/>
      </w:r>
      <w:r>
        <w:rPr>
          <w:color w:val="auto"/>
        </w:rPr>
        <w:t>- 12 -</w:t>
      </w:r>
      <w:r>
        <w:rPr>
          <w:color w:val="auto"/>
        </w:rPr>
        <w:fldChar w:fldCharType="end"/>
      </w:r>
      <w:r>
        <w:rPr>
          <w:color w:val="auto"/>
        </w:rPr>
        <w:fldChar w:fldCharType="end"/>
      </w:r>
    </w:p>
    <w:p>
      <w:pPr>
        <w:pStyle w:val="8"/>
        <w:tabs>
          <w:tab w:val="right" w:leader="dot" w:pos="9412"/>
        </w:tabs>
        <w:ind w:left="1120"/>
        <w:rPr>
          <w:color w:val="auto"/>
        </w:rPr>
      </w:pPr>
      <w:r>
        <w:rPr>
          <w:color w:val="auto"/>
        </w:rPr>
        <w:fldChar w:fldCharType="begin"/>
      </w:r>
      <w:r>
        <w:rPr>
          <w:color w:val="auto"/>
        </w:rPr>
        <w:instrText xml:space="preserve"> HYPERLINK \l "_Toc9136" </w:instrText>
      </w:r>
      <w:r>
        <w:rPr>
          <w:color w:val="auto"/>
        </w:rPr>
        <w:fldChar w:fldCharType="separate"/>
      </w:r>
      <w:r>
        <w:rPr>
          <w:rFonts w:hint="eastAsia" w:ascii="宋体" w:hAnsi="宋体" w:cs="宋体"/>
          <w:color w:val="auto"/>
          <w:szCs w:val="24"/>
        </w:rPr>
        <w:t>五、成交通知</w:t>
      </w:r>
      <w:r>
        <w:rPr>
          <w:color w:val="auto"/>
        </w:rPr>
        <w:tab/>
      </w:r>
      <w:r>
        <w:rPr>
          <w:color w:val="auto"/>
        </w:rPr>
        <w:fldChar w:fldCharType="begin"/>
      </w:r>
      <w:r>
        <w:rPr>
          <w:color w:val="auto"/>
        </w:rPr>
        <w:instrText xml:space="preserve"> PAGEREF _Toc9136 \h </w:instrText>
      </w:r>
      <w:r>
        <w:rPr>
          <w:color w:val="auto"/>
        </w:rPr>
        <w:fldChar w:fldCharType="separate"/>
      </w:r>
      <w:r>
        <w:rPr>
          <w:color w:val="auto"/>
        </w:rPr>
        <w:t>- 12 -</w:t>
      </w:r>
      <w:r>
        <w:rPr>
          <w:color w:val="auto"/>
        </w:rPr>
        <w:fldChar w:fldCharType="end"/>
      </w:r>
      <w:r>
        <w:rPr>
          <w:color w:val="auto"/>
        </w:rPr>
        <w:fldChar w:fldCharType="end"/>
      </w:r>
    </w:p>
    <w:p>
      <w:pPr>
        <w:pStyle w:val="8"/>
        <w:tabs>
          <w:tab w:val="right" w:leader="dot" w:pos="9412"/>
        </w:tabs>
        <w:ind w:left="1120"/>
        <w:rPr>
          <w:color w:val="auto"/>
        </w:rPr>
      </w:pPr>
      <w:r>
        <w:rPr>
          <w:color w:val="auto"/>
        </w:rPr>
        <w:fldChar w:fldCharType="begin"/>
      </w:r>
      <w:r>
        <w:rPr>
          <w:color w:val="auto"/>
        </w:rPr>
        <w:instrText xml:space="preserve"> HYPERLINK \l "_Toc649" </w:instrText>
      </w:r>
      <w:r>
        <w:rPr>
          <w:color w:val="auto"/>
        </w:rPr>
        <w:fldChar w:fldCharType="separate"/>
      </w:r>
      <w:r>
        <w:rPr>
          <w:rFonts w:hint="eastAsia" w:ascii="宋体" w:hAnsi="宋体" w:cs="宋体"/>
          <w:color w:val="auto"/>
          <w:szCs w:val="24"/>
        </w:rPr>
        <w:t>六、关于质疑</w:t>
      </w:r>
      <w:r>
        <w:rPr>
          <w:color w:val="auto"/>
        </w:rPr>
        <w:tab/>
      </w:r>
      <w:r>
        <w:rPr>
          <w:color w:val="auto"/>
        </w:rPr>
        <w:fldChar w:fldCharType="begin"/>
      </w:r>
      <w:r>
        <w:rPr>
          <w:color w:val="auto"/>
        </w:rPr>
        <w:instrText xml:space="preserve"> PAGEREF _Toc649 \h </w:instrText>
      </w:r>
      <w:r>
        <w:rPr>
          <w:color w:val="auto"/>
        </w:rPr>
        <w:fldChar w:fldCharType="separate"/>
      </w:r>
      <w:r>
        <w:rPr>
          <w:color w:val="auto"/>
        </w:rPr>
        <w:t>- 13 -</w:t>
      </w:r>
      <w:r>
        <w:rPr>
          <w:color w:val="auto"/>
        </w:rPr>
        <w:fldChar w:fldCharType="end"/>
      </w:r>
      <w:r>
        <w:rPr>
          <w:color w:val="auto"/>
        </w:rPr>
        <w:fldChar w:fldCharType="end"/>
      </w:r>
    </w:p>
    <w:p>
      <w:pPr>
        <w:pStyle w:val="8"/>
        <w:tabs>
          <w:tab w:val="right" w:leader="dot" w:pos="9412"/>
        </w:tabs>
        <w:ind w:left="1120"/>
        <w:rPr>
          <w:color w:val="auto"/>
        </w:rPr>
      </w:pPr>
      <w:r>
        <w:rPr>
          <w:color w:val="auto"/>
        </w:rPr>
        <w:fldChar w:fldCharType="begin"/>
      </w:r>
      <w:r>
        <w:rPr>
          <w:color w:val="auto"/>
        </w:rPr>
        <w:instrText xml:space="preserve"> HYPERLINK \l "_Toc15187" </w:instrText>
      </w:r>
      <w:r>
        <w:rPr>
          <w:color w:val="auto"/>
        </w:rPr>
        <w:fldChar w:fldCharType="separate"/>
      </w:r>
      <w:r>
        <w:rPr>
          <w:rFonts w:hint="eastAsia" w:ascii="宋体" w:hAnsi="宋体" w:cs="宋体"/>
          <w:color w:val="auto"/>
          <w:szCs w:val="24"/>
        </w:rPr>
        <w:t>七、签订合同</w:t>
      </w:r>
      <w:r>
        <w:rPr>
          <w:color w:val="auto"/>
        </w:rPr>
        <w:tab/>
      </w:r>
      <w:r>
        <w:rPr>
          <w:color w:val="auto"/>
        </w:rPr>
        <w:fldChar w:fldCharType="begin"/>
      </w:r>
      <w:r>
        <w:rPr>
          <w:color w:val="auto"/>
        </w:rPr>
        <w:instrText xml:space="preserve"> PAGEREF _Toc15187 \h </w:instrText>
      </w:r>
      <w:r>
        <w:rPr>
          <w:color w:val="auto"/>
        </w:rPr>
        <w:fldChar w:fldCharType="separate"/>
      </w:r>
      <w:r>
        <w:rPr>
          <w:color w:val="auto"/>
        </w:rPr>
        <w:t>- 13 -</w:t>
      </w:r>
      <w:r>
        <w:rPr>
          <w:color w:val="auto"/>
        </w:rPr>
        <w:fldChar w:fldCharType="end"/>
      </w:r>
      <w:r>
        <w:rPr>
          <w:color w:val="auto"/>
        </w:rPr>
        <w:fldChar w:fldCharType="end"/>
      </w:r>
    </w:p>
    <w:p>
      <w:pPr>
        <w:pStyle w:val="14"/>
        <w:tabs>
          <w:tab w:val="right" w:leader="dot" w:pos="9412"/>
        </w:tabs>
        <w:ind w:left="560"/>
        <w:rPr>
          <w:color w:val="auto"/>
        </w:rPr>
      </w:pPr>
      <w:r>
        <w:rPr>
          <w:color w:val="auto"/>
        </w:rPr>
        <w:fldChar w:fldCharType="begin"/>
      </w:r>
      <w:r>
        <w:rPr>
          <w:color w:val="auto"/>
        </w:rPr>
        <w:instrText xml:space="preserve"> HYPERLINK \l "_Toc2145" </w:instrText>
      </w:r>
      <w:r>
        <w:rPr>
          <w:color w:val="auto"/>
        </w:rPr>
        <w:fldChar w:fldCharType="separate"/>
      </w:r>
      <w:r>
        <w:rPr>
          <w:rFonts w:hint="eastAsia" w:ascii="宋体" w:hAnsi="宋体" w:cs="宋体"/>
          <w:color w:val="auto"/>
          <w:szCs w:val="30"/>
        </w:rPr>
        <w:t>第六篇  采购合同</w:t>
      </w:r>
      <w:r>
        <w:rPr>
          <w:color w:val="auto"/>
        </w:rPr>
        <w:tab/>
      </w:r>
      <w:r>
        <w:rPr>
          <w:color w:val="auto"/>
        </w:rPr>
        <w:fldChar w:fldCharType="begin"/>
      </w:r>
      <w:r>
        <w:rPr>
          <w:color w:val="auto"/>
        </w:rPr>
        <w:instrText xml:space="preserve"> PAGEREF _Toc2145 \h </w:instrText>
      </w:r>
      <w:r>
        <w:rPr>
          <w:color w:val="auto"/>
        </w:rPr>
        <w:fldChar w:fldCharType="separate"/>
      </w:r>
      <w:r>
        <w:rPr>
          <w:color w:val="auto"/>
        </w:rPr>
        <w:t>- 15 -</w:t>
      </w:r>
      <w:r>
        <w:rPr>
          <w:color w:val="auto"/>
        </w:rPr>
        <w:fldChar w:fldCharType="end"/>
      </w:r>
      <w:r>
        <w:rPr>
          <w:color w:val="auto"/>
        </w:rPr>
        <w:fldChar w:fldCharType="end"/>
      </w:r>
    </w:p>
    <w:p>
      <w:pPr>
        <w:pStyle w:val="14"/>
        <w:tabs>
          <w:tab w:val="right" w:leader="dot" w:pos="9412"/>
        </w:tabs>
        <w:ind w:left="560"/>
        <w:rPr>
          <w:color w:val="auto"/>
        </w:rPr>
      </w:pPr>
      <w:r>
        <w:rPr>
          <w:color w:val="auto"/>
        </w:rPr>
        <w:fldChar w:fldCharType="begin"/>
      </w:r>
      <w:r>
        <w:rPr>
          <w:color w:val="auto"/>
        </w:rPr>
        <w:instrText xml:space="preserve"> HYPERLINK \l "_Toc5287" </w:instrText>
      </w:r>
      <w:r>
        <w:rPr>
          <w:color w:val="auto"/>
        </w:rPr>
        <w:fldChar w:fldCharType="separate"/>
      </w:r>
      <w:r>
        <w:rPr>
          <w:rFonts w:hint="eastAsia" w:ascii="宋体" w:hAnsi="宋体" w:cs="宋体"/>
          <w:color w:val="auto"/>
          <w:szCs w:val="30"/>
        </w:rPr>
        <w:t>第七篇  响应文件编制要求</w:t>
      </w:r>
      <w:r>
        <w:rPr>
          <w:color w:val="auto"/>
        </w:rPr>
        <w:tab/>
      </w:r>
      <w:r>
        <w:rPr>
          <w:color w:val="auto"/>
        </w:rPr>
        <w:fldChar w:fldCharType="begin"/>
      </w:r>
      <w:r>
        <w:rPr>
          <w:color w:val="auto"/>
        </w:rPr>
        <w:instrText xml:space="preserve"> PAGEREF _Toc5287 \h </w:instrText>
      </w:r>
      <w:r>
        <w:rPr>
          <w:color w:val="auto"/>
        </w:rPr>
        <w:fldChar w:fldCharType="separate"/>
      </w:r>
      <w:r>
        <w:rPr>
          <w:color w:val="auto"/>
        </w:rPr>
        <w:t>- 25 -</w:t>
      </w:r>
      <w:r>
        <w:rPr>
          <w:color w:val="auto"/>
        </w:rPr>
        <w:fldChar w:fldCharType="end"/>
      </w:r>
      <w:r>
        <w:rPr>
          <w:color w:val="auto"/>
        </w:rPr>
        <w:fldChar w:fldCharType="end"/>
      </w:r>
    </w:p>
    <w:p>
      <w:pPr>
        <w:pStyle w:val="8"/>
        <w:tabs>
          <w:tab w:val="right" w:leader="dot" w:pos="9412"/>
        </w:tabs>
        <w:ind w:left="1120"/>
        <w:rPr>
          <w:color w:val="auto"/>
        </w:rPr>
      </w:pPr>
      <w:r>
        <w:rPr>
          <w:color w:val="auto"/>
        </w:rPr>
        <w:fldChar w:fldCharType="begin"/>
      </w:r>
      <w:r>
        <w:rPr>
          <w:color w:val="auto"/>
        </w:rPr>
        <w:instrText xml:space="preserve"> HYPERLINK \l "_Toc18547" </w:instrText>
      </w:r>
      <w:r>
        <w:rPr>
          <w:color w:val="auto"/>
        </w:rPr>
        <w:fldChar w:fldCharType="separate"/>
      </w:r>
      <w:r>
        <w:rPr>
          <w:rFonts w:hint="eastAsia" w:ascii="宋体" w:hAnsi="宋体" w:cs="宋体"/>
          <w:color w:val="auto"/>
          <w:szCs w:val="24"/>
        </w:rPr>
        <w:t>一、经济部分</w:t>
      </w:r>
      <w:r>
        <w:rPr>
          <w:color w:val="auto"/>
        </w:rPr>
        <w:tab/>
      </w:r>
      <w:r>
        <w:rPr>
          <w:color w:val="auto"/>
        </w:rPr>
        <w:fldChar w:fldCharType="begin"/>
      </w:r>
      <w:r>
        <w:rPr>
          <w:color w:val="auto"/>
        </w:rPr>
        <w:instrText xml:space="preserve"> PAGEREF _Toc18547 \h </w:instrText>
      </w:r>
      <w:r>
        <w:rPr>
          <w:color w:val="auto"/>
        </w:rPr>
        <w:fldChar w:fldCharType="separate"/>
      </w:r>
      <w:r>
        <w:rPr>
          <w:color w:val="auto"/>
        </w:rPr>
        <w:t>- 26 -</w:t>
      </w:r>
      <w:r>
        <w:rPr>
          <w:color w:val="auto"/>
        </w:rPr>
        <w:fldChar w:fldCharType="end"/>
      </w:r>
      <w:r>
        <w:rPr>
          <w:color w:val="auto"/>
        </w:rPr>
        <w:fldChar w:fldCharType="end"/>
      </w:r>
    </w:p>
    <w:p>
      <w:pPr>
        <w:pStyle w:val="8"/>
        <w:tabs>
          <w:tab w:val="right" w:leader="dot" w:pos="9412"/>
        </w:tabs>
        <w:ind w:left="1120"/>
        <w:rPr>
          <w:color w:val="auto"/>
        </w:rPr>
      </w:pPr>
      <w:r>
        <w:rPr>
          <w:color w:val="auto"/>
        </w:rPr>
        <w:fldChar w:fldCharType="begin"/>
      </w:r>
      <w:r>
        <w:rPr>
          <w:color w:val="auto"/>
        </w:rPr>
        <w:instrText xml:space="preserve"> HYPERLINK \l "_Toc19039" </w:instrText>
      </w:r>
      <w:r>
        <w:rPr>
          <w:color w:val="auto"/>
        </w:rPr>
        <w:fldChar w:fldCharType="separate"/>
      </w:r>
      <w:r>
        <w:rPr>
          <w:rFonts w:hint="eastAsia" w:ascii="宋体" w:hAnsi="宋体" w:cs="宋体"/>
          <w:color w:val="auto"/>
          <w:szCs w:val="24"/>
        </w:rPr>
        <w:t>二、服务部分</w:t>
      </w:r>
      <w:r>
        <w:rPr>
          <w:color w:val="auto"/>
        </w:rPr>
        <w:tab/>
      </w:r>
      <w:r>
        <w:rPr>
          <w:color w:val="auto"/>
        </w:rPr>
        <w:fldChar w:fldCharType="begin"/>
      </w:r>
      <w:r>
        <w:rPr>
          <w:color w:val="auto"/>
        </w:rPr>
        <w:instrText xml:space="preserve"> PAGEREF _Toc19039 \h </w:instrText>
      </w:r>
      <w:r>
        <w:rPr>
          <w:color w:val="auto"/>
        </w:rPr>
        <w:fldChar w:fldCharType="separate"/>
      </w:r>
      <w:r>
        <w:rPr>
          <w:color w:val="auto"/>
        </w:rPr>
        <w:t>- 28 -</w:t>
      </w:r>
      <w:r>
        <w:rPr>
          <w:color w:val="auto"/>
        </w:rPr>
        <w:fldChar w:fldCharType="end"/>
      </w:r>
      <w:r>
        <w:rPr>
          <w:color w:val="auto"/>
        </w:rPr>
        <w:fldChar w:fldCharType="end"/>
      </w:r>
    </w:p>
    <w:p>
      <w:pPr>
        <w:pStyle w:val="8"/>
        <w:tabs>
          <w:tab w:val="right" w:leader="dot" w:pos="9412"/>
        </w:tabs>
        <w:ind w:left="1120"/>
        <w:rPr>
          <w:color w:val="auto"/>
        </w:rPr>
      </w:pPr>
      <w:r>
        <w:rPr>
          <w:color w:val="auto"/>
        </w:rPr>
        <w:fldChar w:fldCharType="begin"/>
      </w:r>
      <w:r>
        <w:rPr>
          <w:color w:val="auto"/>
        </w:rPr>
        <w:instrText xml:space="preserve"> HYPERLINK \l "_Toc14108" </w:instrText>
      </w:r>
      <w:r>
        <w:rPr>
          <w:color w:val="auto"/>
        </w:rPr>
        <w:fldChar w:fldCharType="separate"/>
      </w:r>
      <w:r>
        <w:rPr>
          <w:rFonts w:hint="eastAsia" w:ascii="宋体" w:hAnsi="宋体" w:cs="宋体"/>
          <w:color w:val="auto"/>
          <w:szCs w:val="24"/>
        </w:rPr>
        <w:t>三、商务部分</w:t>
      </w:r>
      <w:r>
        <w:rPr>
          <w:color w:val="auto"/>
        </w:rPr>
        <w:tab/>
      </w:r>
      <w:r>
        <w:rPr>
          <w:color w:val="auto"/>
        </w:rPr>
        <w:fldChar w:fldCharType="begin"/>
      </w:r>
      <w:r>
        <w:rPr>
          <w:color w:val="auto"/>
        </w:rPr>
        <w:instrText xml:space="preserve"> PAGEREF _Toc14108 \h </w:instrText>
      </w:r>
      <w:r>
        <w:rPr>
          <w:color w:val="auto"/>
        </w:rPr>
        <w:fldChar w:fldCharType="separate"/>
      </w:r>
      <w:r>
        <w:rPr>
          <w:color w:val="auto"/>
        </w:rPr>
        <w:t>- 30 -</w:t>
      </w:r>
      <w:r>
        <w:rPr>
          <w:color w:val="auto"/>
        </w:rPr>
        <w:fldChar w:fldCharType="end"/>
      </w:r>
      <w:r>
        <w:rPr>
          <w:color w:val="auto"/>
        </w:rPr>
        <w:fldChar w:fldCharType="end"/>
      </w:r>
    </w:p>
    <w:p>
      <w:pPr>
        <w:pStyle w:val="8"/>
        <w:tabs>
          <w:tab w:val="right" w:leader="dot" w:pos="9412"/>
        </w:tabs>
        <w:ind w:left="1120"/>
        <w:rPr>
          <w:color w:val="auto"/>
        </w:rPr>
      </w:pPr>
      <w:r>
        <w:rPr>
          <w:color w:val="auto"/>
        </w:rPr>
        <w:fldChar w:fldCharType="begin"/>
      </w:r>
      <w:r>
        <w:rPr>
          <w:color w:val="auto"/>
        </w:rPr>
        <w:instrText xml:space="preserve"> HYPERLINK \l "_Toc31253" </w:instrText>
      </w:r>
      <w:r>
        <w:rPr>
          <w:color w:val="auto"/>
        </w:rPr>
        <w:fldChar w:fldCharType="separate"/>
      </w:r>
      <w:r>
        <w:rPr>
          <w:rFonts w:hint="eastAsia" w:ascii="宋体" w:hAnsi="宋体" w:cs="宋体"/>
          <w:color w:val="auto"/>
          <w:szCs w:val="24"/>
        </w:rPr>
        <w:t>四、资格条件及其他</w:t>
      </w:r>
      <w:r>
        <w:rPr>
          <w:color w:val="auto"/>
        </w:rPr>
        <w:tab/>
      </w:r>
      <w:r>
        <w:rPr>
          <w:color w:val="auto"/>
        </w:rPr>
        <w:fldChar w:fldCharType="begin"/>
      </w:r>
      <w:r>
        <w:rPr>
          <w:color w:val="auto"/>
        </w:rPr>
        <w:instrText xml:space="preserve"> PAGEREF _Toc31253 \h </w:instrText>
      </w:r>
      <w:r>
        <w:rPr>
          <w:color w:val="auto"/>
        </w:rPr>
        <w:fldChar w:fldCharType="separate"/>
      </w:r>
      <w:r>
        <w:rPr>
          <w:color w:val="auto"/>
        </w:rPr>
        <w:t>- 32 -</w:t>
      </w:r>
      <w:r>
        <w:rPr>
          <w:color w:val="auto"/>
        </w:rPr>
        <w:fldChar w:fldCharType="end"/>
      </w:r>
      <w:r>
        <w:rPr>
          <w:color w:val="auto"/>
        </w:rPr>
        <w:fldChar w:fldCharType="end"/>
      </w:r>
    </w:p>
    <w:p>
      <w:pPr>
        <w:pStyle w:val="8"/>
        <w:tabs>
          <w:tab w:val="right" w:leader="dot" w:pos="9412"/>
        </w:tabs>
        <w:ind w:left="1120"/>
        <w:rPr>
          <w:color w:val="auto"/>
        </w:rPr>
      </w:pPr>
      <w:r>
        <w:rPr>
          <w:color w:val="auto"/>
        </w:rPr>
        <w:fldChar w:fldCharType="begin"/>
      </w:r>
      <w:r>
        <w:rPr>
          <w:color w:val="auto"/>
        </w:rPr>
        <w:instrText xml:space="preserve"> HYPERLINK \l "_Toc13198" </w:instrText>
      </w:r>
      <w:r>
        <w:rPr>
          <w:color w:val="auto"/>
        </w:rPr>
        <w:fldChar w:fldCharType="separate"/>
      </w:r>
      <w:r>
        <w:rPr>
          <w:rFonts w:hint="eastAsia" w:ascii="宋体" w:hAnsi="宋体" w:cs="宋体"/>
          <w:color w:val="auto"/>
          <w:szCs w:val="24"/>
        </w:rPr>
        <w:t>其他应提供的资料</w:t>
      </w:r>
      <w:r>
        <w:rPr>
          <w:color w:val="auto"/>
        </w:rPr>
        <w:tab/>
      </w:r>
      <w:r>
        <w:rPr>
          <w:color w:val="auto"/>
        </w:rPr>
        <w:fldChar w:fldCharType="begin"/>
      </w:r>
      <w:r>
        <w:rPr>
          <w:color w:val="auto"/>
        </w:rPr>
        <w:instrText xml:space="preserve"> PAGEREF _Toc13198 \h </w:instrText>
      </w:r>
      <w:r>
        <w:rPr>
          <w:color w:val="auto"/>
        </w:rPr>
        <w:fldChar w:fldCharType="separate"/>
      </w:r>
      <w:r>
        <w:rPr>
          <w:color w:val="auto"/>
        </w:rPr>
        <w:t>- 36 -</w:t>
      </w:r>
      <w:r>
        <w:rPr>
          <w:color w:val="auto"/>
        </w:rPr>
        <w:fldChar w:fldCharType="end"/>
      </w:r>
      <w:r>
        <w:rPr>
          <w:color w:val="auto"/>
        </w:rPr>
        <w:fldChar w:fldCharType="end"/>
      </w:r>
    </w:p>
    <w:p>
      <w:pPr>
        <w:pStyle w:val="14"/>
        <w:tabs>
          <w:tab w:val="right" w:leader="dot" w:pos="9402"/>
        </w:tabs>
        <w:spacing w:line="480" w:lineRule="exact"/>
        <w:ind w:left="560"/>
        <w:jc w:val="center"/>
        <w:rPr>
          <w:rFonts w:ascii="宋体" w:hAnsi="宋体" w:cs="宋体"/>
          <w:color w:val="auto"/>
          <w:sz w:val="18"/>
          <w:szCs w:val="22"/>
        </w:rPr>
        <w:sectPr>
          <w:footerReference r:id="rId7" w:type="default"/>
          <w:pgSz w:w="11907" w:h="16840"/>
          <w:pgMar w:top="1134" w:right="1191" w:bottom="1134" w:left="1304" w:header="851" w:footer="992" w:gutter="0"/>
          <w:pgNumType w:fmt="numberInDash" w:start="1"/>
          <w:cols w:space="720" w:num="1"/>
          <w:docGrid w:linePitch="380" w:charSpace="-5735"/>
        </w:sectPr>
      </w:pPr>
      <w:r>
        <w:rPr>
          <w:rFonts w:hint="eastAsia" w:ascii="宋体" w:hAnsi="宋体" w:cs="宋体"/>
          <w:color w:val="auto"/>
          <w:szCs w:val="21"/>
        </w:rPr>
        <w:fldChar w:fldCharType="end"/>
      </w:r>
    </w:p>
    <w:p>
      <w:pPr>
        <w:pStyle w:val="3"/>
        <w:spacing w:line="360" w:lineRule="auto"/>
        <w:jc w:val="center"/>
        <w:rPr>
          <w:rFonts w:ascii="宋体" w:hAnsi="宋体" w:eastAsia="宋体" w:cs="宋体"/>
          <w:b w:val="0"/>
          <w:color w:val="auto"/>
          <w:szCs w:val="30"/>
        </w:rPr>
      </w:pPr>
      <w:bookmarkStart w:id="0" w:name="_Toc12789052"/>
      <w:bookmarkStart w:id="1" w:name="_Toc18710"/>
      <w:bookmarkStart w:id="2" w:name="_Toc11641050"/>
      <w:r>
        <w:rPr>
          <w:rFonts w:hint="eastAsia" w:ascii="宋体" w:hAnsi="宋体" w:eastAsia="宋体" w:cs="宋体"/>
          <w:b w:val="0"/>
          <w:color w:val="auto"/>
          <w:sz w:val="36"/>
          <w:szCs w:val="30"/>
        </w:rPr>
        <w:t>第一篇  采购邀请书</w:t>
      </w:r>
      <w:bookmarkEnd w:id="0"/>
      <w:bookmarkEnd w:id="1"/>
      <w:bookmarkEnd w:id="2"/>
    </w:p>
    <w:p>
      <w:pPr>
        <w:snapToGrid w:val="0"/>
        <w:spacing w:line="440" w:lineRule="exact"/>
        <w:ind w:firstLine="480" w:firstLineChars="200"/>
        <w:rPr>
          <w:rFonts w:ascii="宋体" w:hAnsi="宋体" w:cs="宋体"/>
          <w:color w:val="auto"/>
          <w:sz w:val="24"/>
          <w:szCs w:val="24"/>
        </w:rPr>
      </w:pPr>
      <w:r>
        <w:rPr>
          <w:rFonts w:ascii="宋体" w:hAnsi="宋体" w:cs="宋体"/>
          <w:color w:val="auto"/>
          <w:sz w:val="24"/>
          <w:szCs w:val="24"/>
        </w:rPr>
        <w:t>重庆市计量质量检测研究院</w:t>
      </w:r>
      <w:r>
        <w:rPr>
          <w:rFonts w:hint="eastAsia" w:ascii="宋体" w:hAnsi="宋体" w:cs="宋体"/>
          <w:color w:val="auto"/>
          <w:sz w:val="24"/>
          <w:szCs w:val="24"/>
        </w:rPr>
        <w:t>就</w:t>
      </w:r>
      <w:r>
        <w:rPr>
          <w:rFonts w:hint="eastAsia" w:ascii="宋体" w:hAnsi="宋体" w:cs="宋体"/>
          <w:color w:val="auto"/>
          <w:sz w:val="24"/>
          <w:szCs w:val="24"/>
          <w:u w:val="single"/>
        </w:rPr>
        <w:t>重庆市计量发展规划（2021-2035）编制咨询服务项目</w:t>
      </w:r>
      <w:r>
        <w:rPr>
          <w:rFonts w:hint="eastAsia" w:ascii="宋体" w:hAnsi="宋体" w:cs="宋体"/>
          <w:color w:val="auto"/>
          <w:sz w:val="24"/>
          <w:szCs w:val="24"/>
        </w:rPr>
        <w:t>进行竞争性磋商采购。欢迎有资格的供应商前来参与磋商。</w:t>
      </w:r>
    </w:p>
    <w:p>
      <w:pPr>
        <w:pStyle w:val="4"/>
        <w:numPr>
          <w:ilvl w:val="0"/>
          <w:numId w:val="1"/>
        </w:numPr>
        <w:spacing w:before="0" w:after="0" w:line="400" w:lineRule="exact"/>
        <w:rPr>
          <w:rFonts w:ascii="宋体" w:hAnsi="宋体" w:cs="宋体"/>
          <w:color w:val="auto"/>
          <w:sz w:val="24"/>
          <w:szCs w:val="24"/>
        </w:rPr>
      </w:pPr>
      <w:bookmarkStart w:id="3" w:name="_Toc317775175"/>
      <w:bookmarkStart w:id="4" w:name="_Toc313893526"/>
      <w:bookmarkStart w:id="5" w:name="_Toc20532"/>
      <w:r>
        <w:rPr>
          <w:rFonts w:hint="eastAsia" w:ascii="宋体" w:hAnsi="宋体" w:cs="宋体"/>
          <w:color w:val="auto"/>
          <w:sz w:val="24"/>
          <w:szCs w:val="24"/>
        </w:rPr>
        <w:t>竞争性磋商内容</w:t>
      </w:r>
      <w:bookmarkEnd w:id="3"/>
      <w:bookmarkEnd w:id="4"/>
      <w:bookmarkEnd w:id="5"/>
    </w:p>
    <w:p>
      <w:pPr>
        <w:snapToGrid w:val="0"/>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《重庆市计量发展规划（2021-2035）》编制咨询服务。</w:t>
      </w:r>
    </w:p>
    <w:p>
      <w:pPr>
        <w:pStyle w:val="4"/>
        <w:spacing w:before="0" w:after="0" w:line="400" w:lineRule="exact"/>
        <w:rPr>
          <w:rFonts w:ascii="宋体" w:hAnsi="宋体" w:cs="宋体"/>
          <w:color w:val="auto"/>
          <w:sz w:val="24"/>
          <w:szCs w:val="24"/>
        </w:rPr>
      </w:pPr>
      <w:bookmarkStart w:id="6" w:name="_Toc23028"/>
      <w:bookmarkStart w:id="7" w:name="_Toc373860293"/>
      <w:bookmarkStart w:id="8" w:name="_Toc317775178"/>
      <w:r>
        <w:rPr>
          <w:rFonts w:hint="eastAsia" w:ascii="宋体" w:hAnsi="宋体" w:cs="宋体"/>
          <w:color w:val="auto"/>
          <w:sz w:val="24"/>
          <w:szCs w:val="24"/>
        </w:rPr>
        <w:t>二、资金来源</w:t>
      </w:r>
      <w:bookmarkEnd w:id="6"/>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自筹资金</w:t>
      </w:r>
    </w:p>
    <w:p>
      <w:pPr>
        <w:pStyle w:val="4"/>
        <w:spacing w:before="0" w:after="0" w:line="400" w:lineRule="exact"/>
        <w:rPr>
          <w:rFonts w:ascii="宋体" w:hAnsi="宋体" w:cs="宋体"/>
          <w:color w:val="auto"/>
          <w:sz w:val="24"/>
          <w:szCs w:val="24"/>
        </w:rPr>
      </w:pPr>
      <w:bookmarkStart w:id="9" w:name="_Toc20950"/>
      <w:r>
        <w:rPr>
          <w:rFonts w:hint="eastAsia" w:ascii="宋体" w:hAnsi="宋体" w:cs="宋体"/>
          <w:color w:val="auto"/>
          <w:sz w:val="24"/>
          <w:szCs w:val="24"/>
        </w:rPr>
        <w:t>三、供应商资格条件</w:t>
      </w:r>
      <w:bookmarkEnd w:id="9"/>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合格投标人应首先符合政府采购法第二十二条规定的基本条件。</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（一）具有独立承担民事责任的能力；</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（二）具有良好的商业信誉和健全的财务会计制度；</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（三）具有履行合同所必需的设备和专业技术能力；</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（四）有依法缴纳税收和社会保障资金的良好记录；</w:t>
      </w:r>
    </w:p>
    <w:p>
      <w:pPr>
        <w:spacing w:line="44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（五）参加政府采购活动前三年内，在经营活动中没有重大违法记录；</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eastAsia="zh-CN"/>
        </w:rPr>
        <w:t>六</w:t>
      </w:r>
      <w:r>
        <w:rPr>
          <w:rFonts w:hint="eastAsia" w:ascii="宋体" w:hAnsi="宋体" w:cs="宋体"/>
          <w:color w:val="auto"/>
          <w:sz w:val="24"/>
          <w:szCs w:val="24"/>
        </w:rPr>
        <w:t>）法律、行政法规规定的其他条件。</w:t>
      </w:r>
    </w:p>
    <w:p>
      <w:pPr>
        <w:pStyle w:val="4"/>
        <w:spacing w:before="0" w:after="0" w:line="400" w:lineRule="exact"/>
        <w:rPr>
          <w:rFonts w:ascii="宋体" w:hAnsi="宋体" w:cs="宋体"/>
          <w:color w:val="auto"/>
          <w:sz w:val="24"/>
          <w:szCs w:val="24"/>
        </w:rPr>
      </w:pPr>
      <w:bookmarkStart w:id="10" w:name="_Toc4985"/>
      <w:r>
        <w:rPr>
          <w:rFonts w:hint="eastAsia" w:ascii="宋体" w:hAnsi="宋体" w:cs="宋体"/>
          <w:color w:val="auto"/>
          <w:sz w:val="24"/>
          <w:szCs w:val="24"/>
        </w:rPr>
        <w:t>四、磋商有关说明</w:t>
      </w:r>
      <w:bookmarkEnd w:id="7"/>
      <w:bookmarkEnd w:id="10"/>
    </w:p>
    <w:p>
      <w:pPr>
        <w:spacing w:line="440" w:lineRule="exact"/>
        <w:ind w:firstLine="480" w:firstLineChars="200"/>
        <w:jc w:val="left"/>
        <w:rPr>
          <w:rFonts w:ascii="宋体" w:hAnsi="宋体" w:cs="宋体"/>
          <w:color w:val="auto"/>
          <w:sz w:val="24"/>
          <w:szCs w:val="24"/>
        </w:rPr>
      </w:pPr>
      <w:r>
        <w:rPr>
          <w:rFonts w:hint="eastAsia" w:ascii="宋体" w:hAnsi="宋体" w:cs="宋体"/>
          <w:color w:val="auto"/>
          <w:sz w:val="24"/>
          <w:szCs w:val="24"/>
        </w:rPr>
        <w:t>（一）本项目采购公告在重庆市计量质量检测研究院官方网站平台（http://www.cqjz.com.cn）上发布。</w:t>
      </w:r>
    </w:p>
    <w:p>
      <w:pPr>
        <w:spacing w:line="440" w:lineRule="exact"/>
        <w:ind w:left="238" w:leftChars="85" w:firstLine="240" w:firstLineChars="100"/>
        <w:rPr>
          <w:rFonts w:ascii="宋体" w:hAnsi="宋体" w:cs="宋体"/>
          <w:color w:val="auto"/>
          <w:sz w:val="24"/>
          <w:szCs w:val="24"/>
        </w:rPr>
      </w:pPr>
      <w:r>
        <w:rPr>
          <w:rFonts w:hint="eastAsia" w:ascii="宋体" w:hAnsi="宋体" w:cs="宋体"/>
          <w:color w:val="auto"/>
          <w:sz w:val="24"/>
          <w:szCs w:val="24"/>
        </w:rPr>
        <w:t>（二）凡有意参加磋商的供应商，请在磋商文件发售期（2021年8月17日</w:t>
      </w:r>
      <w:r>
        <w:rPr>
          <w:rFonts w:hint="eastAsia" w:ascii="宋体" w:hAnsi="宋体" w:cs="宋体"/>
          <w:color w:val="auto"/>
          <w:sz w:val="24"/>
          <w:szCs w:val="24"/>
          <w:lang w:eastAsia="zh-CN"/>
        </w:rPr>
        <w:t>－</w:t>
      </w:r>
      <w:r>
        <w:rPr>
          <w:rFonts w:hint="eastAsia" w:ascii="宋体" w:hAnsi="宋体" w:cs="宋体"/>
          <w:color w:val="auto"/>
          <w:sz w:val="24"/>
          <w:szCs w:val="24"/>
        </w:rPr>
        <w:t>2021年8月</w:t>
      </w:r>
      <w:r>
        <w:rPr>
          <w:rFonts w:hint="eastAsia" w:ascii="宋体" w:hAnsi="宋体" w:cs="宋体"/>
          <w:color w:val="auto"/>
          <w:sz w:val="24"/>
          <w:szCs w:val="24"/>
          <w:lang w:val="en-US" w:eastAsia="zh-CN"/>
        </w:rPr>
        <w:t>26</w:t>
      </w:r>
      <w:r>
        <w:rPr>
          <w:rFonts w:hint="eastAsia" w:ascii="宋体" w:hAnsi="宋体" w:cs="宋体"/>
          <w:color w:val="auto"/>
          <w:sz w:val="24"/>
          <w:szCs w:val="24"/>
        </w:rPr>
        <w:t>日17:00）内，通过以下方式报名：</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（三）响应文件递交地点：</w:t>
      </w:r>
    </w:p>
    <w:p>
      <w:pPr>
        <w:pStyle w:val="2"/>
        <w:ind w:firstLine="600" w:firstLineChars="250"/>
        <w:rPr>
          <w:color w:val="auto"/>
        </w:rPr>
      </w:pPr>
      <w:r>
        <w:rPr>
          <w:rFonts w:hint="eastAsia"/>
          <w:color w:val="auto"/>
        </w:rPr>
        <w:t>重庆市渝北区杨柳北路1号 重庆市计量质量检测研究院  802室</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（四）响应文件递交开始时间：2021年8月</w:t>
      </w:r>
      <w:r>
        <w:rPr>
          <w:rFonts w:hint="eastAsia" w:ascii="宋体" w:hAnsi="宋体" w:cs="宋体"/>
          <w:color w:val="auto"/>
          <w:sz w:val="24"/>
          <w:szCs w:val="24"/>
          <w:lang w:val="en-US" w:eastAsia="zh-CN"/>
        </w:rPr>
        <w:t>17</w:t>
      </w:r>
      <w:r>
        <w:rPr>
          <w:rFonts w:hint="eastAsia" w:ascii="宋体" w:hAnsi="宋体" w:cs="宋体"/>
          <w:color w:val="auto"/>
          <w:sz w:val="24"/>
          <w:szCs w:val="24"/>
        </w:rPr>
        <w:t>日北京时间14:00；</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（五）响应文件递交截止时间：2021年8月2</w:t>
      </w:r>
      <w:r>
        <w:rPr>
          <w:rFonts w:hint="eastAsia" w:ascii="宋体" w:hAnsi="宋体" w:cs="宋体"/>
          <w:color w:val="auto"/>
          <w:sz w:val="24"/>
          <w:szCs w:val="24"/>
          <w:lang w:val="en-US" w:eastAsia="zh-CN"/>
        </w:rPr>
        <w:t>6</w:t>
      </w:r>
      <w:r>
        <w:rPr>
          <w:rFonts w:hint="eastAsia" w:ascii="宋体" w:hAnsi="宋体" w:cs="宋体"/>
          <w:color w:val="auto"/>
          <w:sz w:val="24"/>
          <w:szCs w:val="24"/>
        </w:rPr>
        <w:t>日北京时间14:</w:t>
      </w:r>
      <w:r>
        <w:rPr>
          <w:rFonts w:hint="eastAsia" w:ascii="宋体" w:hAnsi="宋体" w:cs="宋体"/>
          <w:color w:val="auto"/>
          <w:sz w:val="24"/>
          <w:szCs w:val="24"/>
          <w:lang w:val="en-US" w:eastAsia="zh-CN"/>
        </w:rPr>
        <w:t>00</w:t>
      </w:r>
      <w:r>
        <w:rPr>
          <w:rFonts w:hint="eastAsia" w:ascii="宋体" w:hAnsi="宋体" w:cs="宋体"/>
          <w:color w:val="auto"/>
          <w:sz w:val="24"/>
          <w:szCs w:val="24"/>
        </w:rPr>
        <w:t>；</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（六）磋商开始时间：2021年8月</w:t>
      </w:r>
      <w:r>
        <w:rPr>
          <w:rFonts w:hint="eastAsia" w:ascii="宋体" w:hAnsi="宋体" w:cs="宋体"/>
          <w:color w:val="auto"/>
          <w:sz w:val="24"/>
          <w:szCs w:val="24"/>
          <w:lang w:val="en-US" w:eastAsia="zh-CN"/>
        </w:rPr>
        <w:t>26</w:t>
      </w:r>
      <w:r>
        <w:rPr>
          <w:rFonts w:hint="eastAsia" w:ascii="宋体" w:hAnsi="宋体" w:cs="宋体"/>
          <w:color w:val="auto"/>
          <w:sz w:val="24"/>
          <w:szCs w:val="24"/>
        </w:rPr>
        <w:t>日北京时间14:30；</w:t>
      </w:r>
    </w:p>
    <w:p>
      <w:pPr>
        <w:spacing w:line="440" w:lineRule="exact"/>
        <w:ind w:firstLine="480" w:firstLineChars="200"/>
        <w:rPr>
          <w:color w:val="auto"/>
        </w:rPr>
      </w:pPr>
      <w:r>
        <w:rPr>
          <w:rFonts w:hint="eastAsia" w:ascii="宋体" w:hAnsi="宋体" w:cs="宋体"/>
          <w:color w:val="auto"/>
          <w:sz w:val="24"/>
          <w:szCs w:val="24"/>
        </w:rPr>
        <w:t>（七）磋商地点：同响应文件递交地点。</w:t>
      </w:r>
      <w:bookmarkStart w:id="11" w:name="_Toc373860294"/>
    </w:p>
    <w:p>
      <w:pPr>
        <w:pStyle w:val="4"/>
        <w:spacing w:before="0" w:after="0" w:line="400" w:lineRule="exact"/>
        <w:rPr>
          <w:rFonts w:ascii="宋体" w:hAnsi="宋体" w:cs="宋体"/>
          <w:color w:val="auto"/>
          <w:sz w:val="24"/>
          <w:szCs w:val="24"/>
        </w:rPr>
      </w:pPr>
      <w:bookmarkStart w:id="12" w:name="_Toc22694"/>
      <w:r>
        <w:rPr>
          <w:rFonts w:hint="eastAsia" w:ascii="宋体" w:hAnsi="宋体" w:cs="宋体"/>
          <w:color w:val="auto"/>
          <w:sz w:val="24"/>
          <w:szCs w:val="24"/>
        </w:rPr>
        <w:t>五、</w:t>
      </w:r>
      <w:bookmarkEnd w:id="8"/>
      <w:bookmarkEnd w:id="11"/>
      <w:bookmarkStart w:id="13" w:name="_Toc480466699"/>
      <w:r>
        <w:rPr>
          <w:rFonts w:hint="eastAsia" w:ascii="宋体" w:hAnsi="宋体" w:cs="宋体"/>
          <w:color w:val="auto"/>
          <w:sz w:val="24"/>
          <w:szCs w:val="24"/>
        </w:rPr>
        <w:t>其它有关规定</w:t>
      </w:r>
      <w:bookmarkEnd w:id="12"/>
      <w:bookmarkEnd w:id="13"/>
    </w:p>
    <w:p>
      <w:pPr>
        <w:snapToGrid w:val="0"/>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（一）单位负责人为同一人或者存在直接控股、管系的不同供理关应商，不得参加同一合同项（分包）下的政府采购活动，否则均为无效响应。</w:t>
      </w:r>
    </w:p>
    <w:p>
      <w:pPr>
        <w:snapToGrid w:val="0"/>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（二）为采购项目提供整体设计、规范编制或者项目管理、监理、检测等服务的供应商，不得再参加该采购项目的其他采购活动。</w:t>
      </w:r>
    </w:p>
    <w:p>
      <w:pPr>
        <w:snapToGrid w:val="0"/>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三）本项目的补遗文件（如果有）一律在“重庆市计量质量检测研究院官方网站”平台（http://www.cqjz.com.cn）上发布，请各供应商注意下载；无论供应商下载与否，均视同供应商已知晓本项目补遗文件（如果有）的内容。</w:t>
      </w:r>
    </w:p>
    <w:p>
      <w:pPr>
        <w:snapToGrid w:val="0"/>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（四）超过响应文件截止时间递交的响应文件，恕不接收。</w:t>
      </w:r>
    </w:p>
    <w:p>
      <w:pPr>
        <w:snapToGrid w:val="0"/>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（五）磋商费用：无论磋商结果如何，供应商参与本项目磋商的所有费用均应由供应商自行承担。</w:t>
      </w:r>
    </w:p>
    <w:p>
      <w:pPr>
        <w:snapToGrid w:val="0"/>
        <w:spacing w:line="400" w:lineRule="exact"/>
        <w:ind w:firstLine="480" w:firstLineChars="200"/>
        <w:rPr>
          <w:rFonts w:ascii="宋体" w:hAnsi="宋体" w:cs="宋体"/>
          <w:bCs/>
          <w:color w:val="auto"/>
          <w:sz w:val="24"/>
          <w:szCs w:val="24"/>
        </w:rPr>
      </w:pPr>
      <w:r>
        <w:rPr>
          <w:rFonts w:hint="eastAsia" w:ascii="宋体" w:hAnsi="宋体" w:cs="宋体"/>
          <w:color w:val="auto"/>
          <w:sz w:val="24"/>
          <w:szCs w:val="24"/>
        </w:rPr>
        <w:t>（六）</w:t>
      </w:r>
      <w:r>
        <w:rPr>
          <w:rFonts w:hint="eastAsia" w:ascii="宋体" w:hAnsi="宋体" w:cs="宋体"/>
          <w:b/>
          <w:color w:val="auto"/>
          <w:sz w:val="24"/>
          <w:szCs w:val="24"/>
        </w:rPr>
        <w:t>本项目不接受联合体参与磋商</w:t>
      </w:r>
      <w:r>
        <w:rPr>
          <w:rFonts w:hint="eastAsia" w:ascii="宋体" w:hAnsi="宋体" w:cs="宋体"/>
          <w:bCs/>
          <w:color w:val="auto"/>
          <w:sz w:val="24"/>
          <w:szCs w:val="24"/>
        </w:rPr>
        <w:t>。</w:t>
      </w:r>
    </w:p>
    <w:p>
      <w:pPr>
        <w:snapToGrid w:val="0"/>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（七）</w:t>
      </w:r>
      <w:bookmarkStart w:id="14" w:name="_Toc480466700"/>
      <w:r>
        <w:rPr>
          <w:rFonts w:hint="eastAsia" w:ascii="宋体" w:hAnsi="宋体" w:cs="宋体"/>
          <w:color w:val="auto"/>
          <w:sz w:val="24"/>
          <w:szCs w:val="24"/>
        </w:rPr>
        <w:t>参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4"/>
        <w:spacing w:before="0" w:after="0" w:line="400" w:lineRule="exact"/>
        <w:rPr>
          <w:rFonts w:ascii="宋体" w:hAnsi="宋体" w:cs="宋体"/>
          <w:color w:val="auto"/>
          <w:sz w:val="24"/>
          <w:szCs w:val="24"/>
        </w:rPr>
      </w:pPr>
      <w:bookmarkStart w:id="15" w:name="_Toc6415"/>
      <w:r>
        <w:rPr>
          <w:rFonts w:hint="eastAsia" w:ascii="宋体" w:hAnsi="宋体" w:cs="宋体"/>
          <w:color w:val="auto"/>
          <w:sz w:val="24"/>
          <w:szCs w:val="24"/>
        </w:rPr>
        <w:t>六、联系方式</w:t>
      </w:r>
      <w:bookmarkEnd w:id="14"/>
      <w:bookmarkEnd w:id="15"/>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（一）采购人：</w:t>
      </w:r>
      <w:r>
        <w:rPr>
          <w:rFonts w:ascii="宋体" w:hAnsi="宋体" w:cs="宋体"/>
          <w:color w:val="auto"/>
          <w:sz w:val="24"/>
          <w:szCs w:val="24"/>
        </w:rPr>
        <w:t>重庆市计量质量检测研究院</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联系人：江舸</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电  话：023-</w:t>
      </w:r>
      <w:r>
        <w:rPr>
          <w:rFonts w:ascii="宋体" w:hAnsi="宋体" w:cs="宋体"/>
          <w:color w:val="auto"/>
          <w:sz w:val="24"/>
          <w:szCs w:val="24"/>
        </w:rPr>
        <w:t>89232161</w:t>
      </w:r>
    </w:p>
    <w:p>
      <w:pPr>
        <w:snapToGrid w:val="0"/>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传  真：/</w:t>
      </w:r>
    </w:p>
    <w:p>
      <w:pPr>
        <w:snapToGrid w:val="0"/>
        <w:spacing w:line="360" w:lineRule="auto"/>
        <w:ind w:firstLine="480" w:firstLineChars="200"/>
        <w:rPr>
          <w:rFonts w:ascii="方正仿宋_GBK" w:eastAsia="方正仿宋_GBK"/>
          <w:color w:val="auto"/>
          <w:sz w:val="24"/>
          <w:szCs w:val="24"/>
        </w:rPr>
      </w:pPr>
      <w:r>
        <w:rPr>
          <w:rFonts w:hint="eastAsia" w:ascii="宋体" w:hAnsi="宋体" w:cs="宋体"/>
          <w:color w:val="auto"/>
          <w:sz w:val="24"/>
          <w:szCs w:val="24"/>
        </w:rPr>
        <w:t>地  址：重庆市渝北区杨柳北路1号</w:t>
      </w:r>
    </w:p>
    <w:p>
      <w:pPr>
        <w:snapToGrid w:val="0"/>
        <w:spacing w:line="400" w:lineRule="exact"/>
        <w:ind w:firstLine="480" w:firstLineChars="200"/>
        <w:rPr>
          <w:rFonts w:ascii="方正仿宋_GBK" w:eastAsia="方正仿宋_GBK"/>
          <w:color w:val="auto"/>
          <w:sz w:val="24"/>
          <w:szCs w:val="24"/>
        </w:rPr>
      </w:pPr>
    </w:p>
    <w:p>
      <w:pPr>
        <w:pStyle w:val="6"/>
        <w:rPr>
          <w:color w:val="auto"/>
        </w:rPr>
        <w:sectPr>
          <w:pgSz w:w="11907" w:h="16840"/>
          <w:pgMar w:top="1134" w:right="1418" w:bottom="1134" w:left="1418" w:header="964" w:footer="992" w:gutter="0"/>
          <w:pgNumType w:fmt="numberInDash"/>
          <w:cols w:space="720" w:num="1"/>
          <w:docGrid w:linePitch="312" w:charSpace="0"/>
        </w:sectPr>
      </w:pPr>
    </w:p>
    <w:p>
      <w:pPr>
        <w:pStyle w:val="3"/>
        <w:spacing w:before="0" w:after="0" w:line="360" w:lineRule="auto"/>
        <w:jc w:val="center"/>
        <w:rPr>
          <w:rFonts w:asciiTheme="minorEastAsia" w:hAnsiTheme="minorEastAsia" w:eastAsiaTheme="minorEastAsia" w:cstheme="minorEastAsia"/>
          <w:b w:val="0"/>
          <w:color w:val="auto"/>
          <w:sz w:val="24"/>
          <w:szCs w:val="24"/>
        </w:rPr>
      </w:pPr>
      <w:bookmarkStart w:id="16" w:name="_Toc23928"/>
      <w:r>
        <w:rPr>
          <w:rFonts w:hint="eastAsia" w:asciiTheme="minorEastAsia" w:hAnsiTheme="minorEastAsia" w:eastAsiaTheme="minorEastAsia" w:cstheme="minorEastAsia"/>
          <w:b w:val="0"/>
          <w:color w:val="auto"/>
          <w:sz w:val="36"/>
          <w:szCs w:val="36"/>
        </w:rPr>
        <w:t>第二篇  采购项目需求</w:t>
      </w:r>
      <w:bookmarkEnd w:id="16"/>
    </w:p>
    <w:p>
      <w:pPr>
        <w:pStyle w:val="4"/>
        <w:spacing w:before="0" w:after="0" w:line="360" w:lineRule="auto"/>
        <w:rPr>
          <w:color w:val="auto"/>
          <w:sz w:val="24"/>
          <w:szCs w:val="24"/>
        </w:rPr>
      </w:pPr>
      <w:bookmarkStart w:id="17" w:name="_Toc7935"/>
      <w:bookmarkStart w:id="18" w:name="_Toc12789058"/>
      <w:r>
        <w:rPr>
          <w:rFonts w:hint="eastAsia"/>
          <w:color w:val="auto"/>
          <w:sz w:val="24"/>
          <w:szCs w:val="24"/>
        </w:rPr>
        <w:t>一、招标项目一览表</w:t>
      </w:r>
      <w:bookmarkEnd w:id="17"/>
    </w:p>
    <w:bookmarkEnd w:id="18"/>
    <w:tbl>
      <w:tblPr>
        <w:tblStyle w:val="17"/>
        <w:tblW w:w="9463"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955"/>
        <w:gridCol w:w="3085"/>
        <w:gridCol w:w="1913"/>
        <w:gridCol w:w="1860"/>
        <w:gridCol w:w="165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04" w:hRule="atLeast"/>
        </w:trPr>
        <w:tc>
          <w:tcPr>
            <w:tcW w:w="955" w:type="dxa"/>
            <w:tcBorders>
              <w:top w:val="outset" w:color="auto" w:sz="6" w:space="0"/>
              <w:left w:val="outset" w:color="auto" w:sz="6" w:space="0"/>
              <w:bottom w:val="outset" w:color="auto" w:sz="6" w:space="0"/>
              <w:right w:val="single" w:color="auto" w:sz="4" w:space="0"/>
            </w:tcBorders>
          </w:tcPr>
          <w:p>
            <w:pPr>
              <w:spacing w:line="300" w:lineRule="exact"/>
              <w:jc w:val="center"/>
              <w:rPr>
                <w:rFonts w:ascii="宋体" w:hAnsi="宋体" w:cs="宋体"/>
                <w:color w:val="auto"/>
                <w:sz w:val="21"/>
                <w:szCs w:val="21"/>
              </w:rPr>
            </w:pPr>
            <w:r>
              <w:rPr>
                <w:rFonts w:hint="eastAsia" w:ascii="宋体" w:hAnsi="宋体" w:cs="宋体"/>
                <w:color w:val="auto"/>
                <w:sz w:val="21"/>
                <w:szCs w:val="21"/>
              </w:rPr>
              <w:t>分包号</w:t>
            </w:r>
          </w:p>
        </w:tc>
        <w:tc>
          <w:tcPr>
            <w:tcW w:w="3085" w:type="dxa"/>
            <w:tcBorders>
              <w:top w:val="outset" w:color="auto" w:sz="6" w:space="0"/>
              <w:left w:val="outset" w:color="auto" w:sz="6" w:space="0"/>
              <w:bottom w:val="outset" w:color="auto" w:sz="6" w:space="0"/>
              <w:right w:val="single" w:color="auto" w:sz="4" w:space="0"/>
            </w:tcBorders>
            <w:vAlign w:val="center"/>
          </w:tcPr>
          <w:p>
            <w:pPr>
              <w:spacing w:line="300" w:lineRule="exact"/>
              <w:jc w:val="center"/>
              <w:rPr>
                <w:rFonts w:ascii="宋体" w:hAnsi="宋体" w:cs="宋体"/>
                <w:color w:val="auto"/>
                <w:sz w:val="21"/>
                <w:szCs w:val="21"/>
              </w:rPr>
            </w:pPr>
            <w:r>
              <w:rPr>
                <w:rFonts w:hint="eastAsia" w:ascii="宋体" w:hAnsi="宋体" w:cs="宋体"/>
                <w:color w:val="auto"/>
                <w:sz w:val="21"/>
                <w:szCs w:val="21"/>
              </w:rPr>
              <w:t>分包名称</w:t>
            </w:r>
          </w:p>
        </w:tc>
        <w:tc>
          <w:tcPr>
            <w:tcW w:w="1913" w:type="dxa"/>
            <w:tcBorders>
              <w:top w:val="outset" w:color="auto" w:sz="6" w:space="0"/>
              <w:left w:val="single" w:color="auto" w:sz="4" w:space="0"/>
              <w:bottom w:val="outset" w:color="auto" w:sz="6" w:space="0"/>
              <w:right w:val="outset" w:color="auto" w:sz="6" w:space="0"/>
            </w:tcBorders>
            <w:vAlign w:val="center"/>
          </w:tcPr>
          <w:p>
            <w:pPr>
              <w:spacing w:line="300" w:lineRule="exact"/>
              <w:jc w:val="center"/>
              <w:rPr>
                <w:rFonts w:ascii="宋体" w:hAnsi="宋体" w:cs="宋体"/>
                <w:color w:val="auto"/>
                <w:sz w:val="21"/>
                <w:szCs w:val="21"/>
              </w:rPr>
            </w:pPr>
            <w:r>
              <w:rPr>
                <w:rFonts w:hint="eastAsia" w:ascii="宋体" w:hAnsi="宋体" w:cs="宋体"/>
                <w:color w:val="auto"/>
                <w:sz w:val="21"/>
                <w:szCs w:val="21"/>
              </w:rPr>
              <w:t>最高限价</w:t>
            </w:r>
          </w:p>
        </w:tc>
        <w:tc>
          <w:tcPr>
            <w:tcW w:w="1860" w:type="dxa"/>
            <w:tcBorders>
              <w:top w:val="outset" w:color="auto" w:sz="6" w:space="0"/>
              <w:left w:val="single" w:color="auto" w:sz="4" w:space="0"/>
              <w:bottom w:val="outset" w:color="auto" w:sz="6" w:space="0"/>
              <w:right w:val="outset" w:color="auto" w:sz="6" w:space="0"/>
            </w:tcBorders>
            <w:vAlign w:val="center"/>
          </w:tcPr>
          <w:p>
            <w:pPr>
              <w:spacing w:line="300" w:lineRule="exact"/>
              <w:jc w:val="center"/>
              <w:rPr>
                <w:rFonts w:ascii="宋体" w:hAnsi="宋体" w:cs="宋体"/>
                <w:color w:val="auto"/>
                <w:sz w:val="21"/>
                <w:szCs w:val="21"/>
              </w:rPr>
            </w:pPr>
            <w:r>
              <w:rPr>
                <w:rFonts w:hint="eastAsia" w:ascii="宋体" w:hAnsi="宋体" w:cs="宋体"/>
                <w:color w:val="auto"/>
                <w:sz w:val="21"/>
                <w:szCs w:val="21"/>
              </w:rPr>
              <w:t>投标保证金</w:t>
            </w:r>
          </w:p>
        </w:tc>
        <w:tc>
          <w:tcPr>
            <w:tcW w:w="1650" w:type="dxa"/>
            <w:tcBorders>
              <w:top w:val="outset" w:color="auto" w:sz="6" w:space="0"/>
              <w:left w:val="single" w:color="auto" w:sz="4" w:space="0"/>
              <w:bottom w:val="outset" w:color="auto" w:sz="6" w:space="0"/>
              <w:right w:val="outset" w:color="auto" w:sz="6" w:space="0"/>
            </w:tcBorders>
            <w:vAlign w:val="center"/>
          </w:tcPr>
          <w:p>
            <w:pPr>
              <w:spacing w:line="300" w:lineRule="exact"/>
              <w:jc w:val="center"/>
              <w:rPr>
                <w:rFonts w:ascii="宋体" w:hAnsi="宋体" w:cs="宋体"/>
                <w:color w:val="auto"/>
                <w:sz w:val="21"/>
                <w:szCs w:val="21"/>
              </w:rPr>
            </w:pPr>
            <w:r>
              <w:rPr>
                <w:rFonts w:hint="eastAsia" w:ascii="宋体" w:hAnsi="宋体" w:cs="宋体"/>
                <w:color w:val="auto"/>
                <w:sz w:val="21"/>
                <w:szCs w:val="21"/>
              </w:rPr>
              <w:t>成交供应商数量</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955" w:type="dxa"/>
            <w:tcBorders>
              <w:top w:val="outset" w:color="auto" w:sz="6" w:space="0"/>
              <w:left w:val="outset" w:color="auto" w:sz="6" w:space="0"/>
              <w:bottom w:val="outset" w:color="auto" w:sz="6" w:space="0"/>
              <w:right w:val="single" w:color="auto" w:sz="4" w:space="0"/>
            </w:tcBorders>
          </w:tcPr>
          <w:p>
            <w:pPr>
              <w:pStyle w:val="7"/>
              <w:spacing w:line="240" w:lineRule="atLeast"/>
              <w:ind w:left="0"/>
              <w:jc w:val="center"/>
              <w:outlineLvl w:val="0"/>
              <w:rPr>
                <w:rFonts w:ascii="宋体" w:hAnsi="宋体" w:cs="宋体"/>
                <w:color w:val="auto"/>
                <w:sz w:val="24"/>
                <w:szCs w:val="24"/>
              </w:rPr>
            </w:pPr>
            <w:r>
              <w:rPr>
                <w:rFonts w:hint="eastAsia" w:ascii="宋体" w:hAnsi="宋体" w:cs="宋体"/>
                <w:color w:val="auto"/>
                <w:sz w:val="24"/>
                <w:szCs w:val="24"/>
              </w:rPr>
              <w:t>1</w:t>
            </w:r>
          </w:p>
        </w:tc>
        <w:tc>
          <w:tcPr>
            <w:tcW w:w="3085" w:type="dxa"/>
            <w:tcBorders>
              <w:top w:val="outset" w:color="auto" w:sz="6" w:space="0"/>
              <w:left w:val="outset" w:color="auto" w:sz="6" w:space="0"/>
              <w:bottom w:val="outset" w:color="auto" w:sz="6" w:space="0"/>
              <w:right w:val="single" w:color="auto" w:sz="4" w:space="0"/>
            </w:tcBorders>
            <w:vAlign w:val="center"/>
          </w:tcPr>
          <w:p>
            <w:pPr>
              <w:pStyle w:val="7"/>
              <w:spacing w:line="240" w:lineRule="atLeast"/>
              <w:ind w:left="0"/>
              <w:jc w:val="center"/>
              <w:outlineLvl w:val="0"/>
              <w:rPr>
                <w:rFonts w:ascii="宋体" w:hAnsi="宋体" w:cs="宋体"/>
                <w:color w:val="auto"/>
                <w:sz w:val="21"/>
                <w:szCs w:val="21"/>
              </w:rPr>
            </w:pPr>
            <w:r>
              <w:rPr>
                <w:rFonts w:hint="eastAsia" w:ascii="宋体" w:hAnsi="宋体" w:cs="宋体"/>
                <w:color w:val="auto"/>
                <w:sz w:val="24"/>
                <w:szCs w:val="24"/>
              </w:rPr>
              <w:t>重庆市计量发展规划（2021-2035）编制咨询服务</w:t>
            </w:r>
          </w:p>
        </w:tc>
        <w:tc>
          <w:tcPr>
            <w:tcW w:w="1913" w:type="dxa"/>
            <w:tcBorders>
              <w:top w:val="outset" w:color="auto" w:sz="6" w:space="0"/>
              <w:left w:val="single" w:color="auto" w:sz="4" w:space="0"/>
              <w:bottom w:val="outset" w:color="auto" w:sz="6" w:space="0"/>
              <w:right w:val="outset" w:color="auto" w:sz="6" w:space="0"/>
            </w:tcBorders>
            <w:vAlign w:val="center"/>
          </w:tcPr>
          <w:p>
            <w:pPr>
              <w:spacing w:line="300" w:lineRule="exact"/>
              <w:jc w:val="center"/>
              <w:rPr>
                <w:rFonts w:ascii="宋体" w:hAnsi="宋体" w:cs="宋体"/>
                <w:color w:val="auto"/>
                <w:sz w:val="21"/>
                <w:szCs w:val="21"/>
              </w:rPr>
            </w:pPr>
            <w:r>
              <w:rPr>
                <w:rFonts w:hint="eastAsia" w:ascii="宋体" w:hAnsi="宋体" w:cs="宋体"/>
                <w:color w:val="auto"/>
                <w:sz w:val="21"/>
                <w:szCs w:val="21"/>
              </w:rPr>
              <w:t>19万元</w:t>
            </w:r>
          </w:p>
        </w:tc>
        <w:tc>
          <w:tcPr>
            <w:tcW w:w="1860" w:type="dxa"/>
            <w:tcBorders>
              <w:top w:val="outset" w:color="auto" w:sz="6" w:space="0"/>
              <w:left w:val="single" w:color="auto" w:sz="4" w:space="0"/>
              <w:bottom w:val="outset" w:color="auto" w:sz="6" w:space="0"/>
              <w:right w:val="outset" w:color="auto" w:sz="6" w:space="0"/>
            </w:tcBorders>
            <w:vAlign w:val="center"/>
          </w:tcPr>
          <w:p>
            <w:pPr>
              <w:spacing w:line="300" w:lineRule="exact"/>
              <w:jc w:val="center"/>
              <w:rPr>
                <w:rFonts w:ascii="宋体" w:hAnsi="宋体" w:cs="宋体"/>
                <w:color w:val="auto"/>
                <w:sz w:val="21"/>
                <w:szCs w:val="21"/>
              </w:rPr>
            </w:pPr>
            <w:r>
              <w:rPr>
                <w:rFonts w:hint="eastAsia" w:ascii="宋体" w:hAnsi="宋体" w:cs="宋体"/>
                <w:color w:val="auto"/>
                <w:sz w:val="21"/>
                <w:szCs w:val="21"/>
              </w:rPr>
              <w:t>无</w:t>
            </w:r>
          </w:p>
        </w:tc>
        <w:tc>
          <w:tcPr>
            <w:tcW w:w="1650" w:type="dxa"/>
            <w:tcBorders>
              <w:top w:val="outset" w:color="auto" w:sz="6" w:space="0"/>
              <w:left w:val="single" w:color="auto" w:sz="4" w:space="0"/>
              <w:bottom w:val="outset" w:color="auto" w:sz="6" w:space="0"/>
              <w:right w:val="outset" w:color="auto" w:sz="6" w:space="0"/>
            </w:tcBorders>
            <w:vAlign w:val="center"/>
          </w:tcPr>
          <w:p>
            <w:pPr>
              <w:spacing w:line="300" w:lineRule="exact"/>
              <w:jc w:val="center"/>
              <w:rPr>
                <w:rFonts w:ascii="宋体" w:hAnsi="宋体" w:cs="宋体"/>
                <w:color w:val="auto"/>
                <w:sz w:val="21"/>
                <w:szCs w:val="21"/>
              </w:rPr>
            </w:pPr>
            <w:r>
              <w:rPr>
                <w:rFonts w:hint="eastAsia" w:ascii="宋体" w:hAnsi="宋体" w:cs="宋体"/>
                <w:color w:val="auto"/>
                <w:sz w:val="21"/>
                <w:szCs w:val="21"/>
              </w:rPr>
              <w:t>1家</w:t>
            </w:r>
          </w:p>
        </w:tc>
      </w:tr>
    </w:tbl>
    <w:p>
      <w:pPr>
        <w:spacing w:line="360" w:lineRule="auto"/>
        <w:ind w:firstLine="480" w:firstLineChars="200"/>
        <w:jc w:val="left"/>
        <w:rPr>
          <w:color w:val="auto"/>
          <w:sz w:val="24"/>
          <w:szCs w:val="24"/>
        </w:rPr>
      </w:pPr>
    </w:p>
    <w:p>
      <w:pPr>
        <w:pStyle w:val="4"/>
        <w:spacing w:before="0" w:after="0" w:line="360" w:lineRule="auto"/>
        <w:rPr>
          <w:rFonts w:ascii="宋体" w:hAnsi="宋体" w:cs="仿宋_GB2312"/>
          <w:color w:val="auto"/>
          <w:sz w:val="21"/>
          <w:szCs w:val="21"/>
          <w:lang w:val="zh-CN"/>
        </w:rPr>
      </w:pPr>
      <w:bookmarkStart w:id="19" w:name="_Toc3856"/>
      <w:r>
        <w:rPr>
          <w:rFonts w:hint="eastAsia" w:ascii="宋体" w:hAnsi="宋体" w:cs="仿宋_GB2312"/>
          <w:color w:val="auto"/>
          <w:sz w:val="21"/>
          <w:szCs w:val="21"/>
        </w:rPr>
        <w:t>二、</w:t>
      </w:r>
      <w:r>
        <w:rPr>
          <w:rFonts w:hint="eastAsia"/>
          <w:color w:val="auto"/>
          <w:sz w:val="24"/>
          <w:szCs w:val="24"/>
        </w:rPr>
        <w:t>项目技术要求</w:t>
      </w:r>
      <w:bookmarkEnd w:id="19"/>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（一）项目概况</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十四五”时期是重庆谱写高质量发展新篇章、开启社会主义现代化建设新征程的关键时期。为贯彻落实《重庆市国民经济和社会发展第十四个五年规划和二〇三五年远景目标纲要》夯实我市计量基础，综合提升计量水平，推动经济社会高质量发展，重庆市计量质量检测研究院正式启动《重庆市计量发展规划（2021-2035）》编制工作。</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（二）服务内容</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1、按照满足国家及地方相关规定要求，结合重庆市经济发展需要和实际情况，编制《重庆市计量发展规划（2021-2035）》。主要内容包括：发展现状与形势分析、指导思想与基本原则、发展目标、发展规划、保障措施等。</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2、在咨询服务期间，若采购人提出的疑问，编制单位有义务配合解释、说明。</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（三）工作时间及成果要求</w:t>
      </w:r>
    </w:p>
    <w:p>
      <w:pPr>
        <w:spacing w:line="360" w:lineRule="auto"/>
        <w:ind w:firstLine="480" w:firstLineChars="200"/>
        <w:jc w:val="left"/>
        <w:rPr>
          <w:rFonts w:ascii="宋体" w:hAnsi="宋体" w:cs="宋体"/>
          <w:color w:val="auto"/>
          <w:sz w:val="24"/>
          <w:szCs w:val="24"/>
        </w:rPr>
      </w:pPr>
      <w:r>
        <w:rPr>
          <w:rFonts w:hint="eastAsia" w:ascii="宋体" w:hAnsi="宋体" w:cs="宋体"/>
          <w:color w:val="auto"/>
          <w:sz w:val="24"/>
          <w:szCs w:val="24"/>
        </w:rPr>
        <w:t>1.工作时间：</w:t>
      </w:r>
    </w:p>
    <w:p>
      <w:pPr>
        <w:pStyle w:val="2"/>
        <w:rPr>
          <w:rFonts w:ascii="宋体" w:hAnsi="宋体" w:cs="宋体"/>
          <w:color w:val="auto"/>
          <w:szCs w:val="24"/>
        </w:rPr>
      </w:pPr>
      <w:r>
        <w:rPr>
          <w:rFonts w:hint="eastAsia" w:ascii="宋体" w:hAnsi="宋体" w:cs="宋体"/>
          <w:color w:val="auto"/>
          <w:szCs w:val="24"/>
        </w:rPr>
        <w:t>（1）2021年9月6日前提交第一次送审稿报相关部门征求意见；</w:t>
      </w:r>
    </w:p>
    <w:p>
      <w:pPr>
        <w:pStyle w:val="2"/>
        <w:rPr>
          <w:rFonts w:ascii="宋体" w:hAnsi="宋体" w:cs="宋体"/>
          <w:color w:val="auto"/>
          <w:szCs w:val="24"/>
        </w:rPr>
      </w:pPr>
      <w:r>
        <w:rPr>
          <w:rFonts w:hint="eastAsia" w:ascii="宋体" w:hAnsi="宋体" w:cs="宋体"/>
          <w:color w:val="auto"/>
          <w:szCs w:val="24"/>
        </w:rPr>
        <w:t>（2）2021年9月20日前提交第二次送审稿，开展专家论证，进行合法性审查并公示；</w:t>
      </w:r>
    </w:p>
    <w:p>
      <w:pPr>
        <w:pStyle w:val="2"/>
        <w:rPr>
          <w:rFonts w:ascii="宋体" w:hAnsi="宋体" w:cs="宋体"/>
          <w:color w:val="auto"/>
          <w:szCs w:val="24"/>
        </w:rPr>
      </w:pPr>
      <w:r>
        <w:rPr>
          <w:rFonts w:hint="eastAsia" w:ascii="宋体" w:hAnsi="宋体" w:cs="宋体"/>
          <w:color w:val="auto"/>
          <w:szCs w:val="24"/>
        </w:rPr>
        <w:t>（3）2021年11月10日前提交第三次送审稿报市市场监管局党组审议定稿；</w:t>
      </w:r>
    </w:p>
    <w:p>
      <w:pPr>
        <w:pStyle w:val="2"/>
        <w:rPr>
          <w:rFonts w:ascii="宋体" w:hAnsi="宋体" w:cs="宋体"/>
          <w:color w:val="auto"/>
          <w:szCs w:val="24"/>
        </w:rPr>
      </w:pPr>
      <w:r>
        <w:rPr>
          <w:rFonts w:hint="eastAsia" w:ascii="宋体" w:hAnsi="宋体" w:cs="宋体"/>
          <w:color w:val="auto"/>
          <w:szCs w:val="24"/>
        </w:rPr>
        <w:t>（4）2021年11月30日前定稿报市政府审议</w:t>
      </w:r>
    </w:p>
    <w:p>
      <w:pPr>
        <w:pStyle w:val="2"/>
        <w:ind w:firstLine="480" w:firstLineChars="200"/>
        <w:rPr>
          <w:rFonts w:ascii="宋体" w:hAnsi="宋体" w:cs="宋体"/>
          <w:color w:val="auto"/>
          <w:szCs w:val="24"/>
        </w:rPr>
      </w:pPr>
      <w:r>
        <w:rPr>
          <w:rFonts w:hint="eastAsia" w:ascii="宋体" w:hAnsi="宋体" w:cs="宋体"/>
          <w:color w:val="auto"/>
          <w:szCs w:val="24"/>
        </w:rPr>
        <w:t>2.成果要求：</w:t>
      </w:r>
    </w:p>
    <w:p>
      <w:pPr>
        <w:pStyle w:val="2"/>
        <w:ind w:firstLine="480" w:firstLineChars="200"/>
        <w:rPr>
          <w:rFonts w:ascii="宋体" w:hAnsi="宋体" w:cs="宋体"/>
          <w:color w:val="auto"/>
          <w:szCs w:val="24"/>
        </w:rPr>
      </w:pPr>
      <w:r>
        <w:rPr>
          <w:rFonts w:hint="eastAsia" w:ascii="宋体" w:hAnsi="宋体" w:cs="宋体"/>
          <w:color w:val="auto"/>
          <w:szCs w:val="24"/>
        </w:rPr>
        <w:t>（1）高质量编制《重庆市计量发展规划（2021-2035）》</w:t>
      </w:r>
    </w:p>
    <w:p>
      <w:pPr>
        <w:pStyle w:val="2"/>
        <w:ind w:firstLine="480" w:firstLineChars="200"/>
        <w:rPr>
          <w:rFonts w:ascii="宋体" w:hAnsi="宋体" w:cs="宋体"/>
          <w:color w:val="auto"/>
          <w:szCs w:val="24"/>
        </w:rPr>
      </w:pPr>
      <w:r>
        <w:rPr>
          <w:rFonts w:hint="eastAsia" w:ascii="宋体" w:hAnsi="宋体" w:cs="宋体"/>
          <w:color w:val="auto"/>
          <w:szCs w:val="24"/>
        </w:rPr>
        <w:t>（2）根据征求意见修订完善《重庆市计量发展规划（2021-2035）》</w:t>
      </w:r>
    </w:p>
    <w:p>
      <w:pPr>
        <w:pStyle w:val="2"/>
        <w:ind w:firstLine="480" w:firstLineChars="200"/>
        <w:rPr>
          <w:rFonts w:ascii="宋体" w:hAnsi="宋体" w:cs="宋体"/>
          <w:color w:val="auto"/>
          <w:szCs w:val="24"/>
        </w:rPr>
      </w:pPr>
      <w:r>
        <w:rPr>
          <w:rFonts w:hint="eastAsia" w:ascii="宋体" w:hAnsi="宋体" w:cs="宋体"/>
          <w:color w:val="auto"/>
          <w:szCs w:val="24"/>
        </w:rPr>
        <w:t>（3）根据专家论证意见修订完善《重庆市计量发展规划（2021-2035）》</w:t>
      </w:r>
    </w:p>
    <w:p>
      <w:pPr>
        <w:pStyle w:val="2"/>
        <w:ind w:firstLine="480" w:firstLineChars="200"/>
        <w:rPr>
          <w:rFonts w:ascii="宋体" w:hAnsi="宋体" w:cs="宋体"/>
          <w:color w:val="auto"/>
          <w:szCs w:val="24"/>
        </w:rPr>
      </w:pPr>
      <w:r>
        <w:rPr>
          <w:rFonts w:hint="eastAsia" w:ascii="宋体" w:hAnsi="宋体" w:cs="宋体"/>
          <w:color w:val="auto"/>
          <w:szCs w:val="24"/>
        </w:rPr>
        <w:t>（4）根据合法性审查意见修订完善《重庆市计量发展规划（2021-2035）》</w:t>
      </w:r>
    </w:p>
    <w:p>
      <w:pPr>
        <w:pStyle w:val="2"/>
        <w:rPr>
          <w:rFonts w:ascii="宋体" w:hAnsi="宋体" w:cs="宋体"/>
          <w:color w:val="auto"/>
          <w:szCs w:val="24"/>
        </w:rPr>
      </w:pPr>
      <w:r>
        <w:rPr>
          <w:rFonts w:hint="eastAsia" w:ascii="宋体" w:hAnsi="宋体" w:cs="宋体"/>
          <w:color w:val="auto"/>
          <w:szCs w:val="24"/>
        </w:rPr>
        <w:t>（5）编制《重庆市计量发展规划（2021-2035）》政策解读意见</w:t>
      </w:r>
    </w:p>
    <w:p>
      <w:pPr>
        <w:pStyle w:val="2"/>
        <w:rPr>
          <w:rFonts w:ascii="宋体" w:hAnsi="宋体" w:cs="宋体"/>
          <w:color w:val="auto"/>
          <w:szCs w:val="24"/>
        </w:rPr>
      </w:pPr>
      <w:r>
        <w:rPr>
          <w:rFonts w:hint="eastAsia" w:ascii="宋体" w:hAnsi="宋体" w:cs="宋体"/>
          <w:color w:val="auto"/>
          <w:szCs w:val="24"/>
        </w:rPr>
        <w:t>（6）编制《重庆市计量发展规划（2021-2035）》起草说明</w:t>
      </w:r>
    </w:p>
    <w:p>
      <w:pPr>
        <w:pStyle w:val="3"/>
        <w:spacing w:line="360" w:lineRule="auto"/>
        <w:jc w:val="center"/>
        <w:rPr>
          <w:rFonts w:ascii="宋体" w:hAnsi="宋体" w:eastAsia="宋体" w:cs="宋体"/>
          <w:b w:val="0"/>
          <w:color w:val="auto"/>
          <w:sz w:val="36"/>
          <w:szCs w:val="30"/>
        </w:rPr>
      </w:pPr>
      <w:bookmarkStart w:id="20" w:name="_Toc15901"/>
      <w:r>
        <w:rPr>
          <w:rFonts w:hint="eastAsia" w:ascii="宋体" w:hAnsi="宋体" w:eastAsia="宋体" w:cs="宋体"/>
          <w:b w:val="0"/>
          <w:color w:val="auto"/>
          <w:sz w:val="36"/>
          <w:szCs w:val="30"/>
        </w:rPr>
        <w:t>第三篇  项目商务需求</w:t>
      </w:r>
      <w:bookmarkEnd w:id="20"/>
    </w:p>
    <w:p>
      <w:pPr>
        <w:pStyle w:val="4"/>
        <w:spacing w:before="0" w:after="0" w:line="360" w:lineRule="auto"/>
        <w:rPr>
          <w:rFonts w:ascii="宋体" w:hAnsi="宋体" w:cs="宋体"/>
          <w:color w:val="auto"/>
          <w:sz w:val="24"/>
          <w:szCs w:val="24"/>
        </w:rPr>
      </w:pPr>
      <w:bookmarkStart w:id="21" w:name="_Toc466546913"/>
      <w:bookmarkStart w:id="22" w:name="_Toc7079"/>
      <w:r>
        <w:rPr>
          <w:rFonts w:hint="eastAsia" w:ascii="宋体" w:hAnsi="宋体" w:cs="宋体"/>
          <w:color w:val="auto"/>
          <w:sz w:val="24"/>
          <w:szCs w:val="24"/>
        </w:rPr>
        <w:t>一、</w:t>
      </w:r>
      <w:bookmarkEnd w:id="21"/>
      <w:r>
        <w:rPr>
          <w:rFonts w:hint="eastAsia" w:ascii="宋体" w:hAnsi="宋体" w:cs="宋体"/>
          <w:color w:val="auto"/>
          <w:sz w:val="24"/>
          <w:szCs w:val="24"/>
        </w:rPr>
        <w:t>服务时间、实施地点、成果提交时间、验收方式</w:t>
      </w:r>
      <w:bookmarkEnd w:id="22"/>
    </w:p>
    <w:p>
      <w:pPr>
        <w:spacing w:line="360" w:lineRule="auto"/>
        <w:ind w:firstLine="700" w:firstLineChars="292"/>
        <w:rPr>
          <w:rFonts w:ascii="宋体" w:hAnsi="宋体" w:cs="宋体"/>
          <w:color w:val="auto"/>
          <w:sz w:val="24"/>
          <w:szCs w:val="24"/>
        </w:rPr>
      </w:pPr>
      <w:bookmarkStart w:id="23" w:name="_Toc466546914"/>
      <w:r>
        <w:rPr>
          <w:rFonts w:hint="eastAsia" w:ascii="宋体" w:hAnsi="宋体" w:cs="宋体"/>
          <w:color w:val="auto"/>
          <w:sz w:val="24"/>
          <w:szCs w:val="24"/>
        </w:rPr>
        <w:t>（一）服务时间</w:t>
      </w:r>
    </w:p>
    <w:p>
      <w:pPr>
        <w:spacing w:line="360" w:lineRule="auto"/>
        <w:ind w:firstLine="700" w:firstLineChars="292"/>
        <w:rPr>
          <w:rFonts w:ascii="宋体" w:hAnsi="宋体" w:cs="宋体"/>
          <w:color w:val="auto"/>
          <w:sz w:val="24"/>
          <w:szCs w:val="24"/>
        </w:rPr>
      </w:pPr>
      <w:r>
        <w:rPr>
          <w:rFonts w:hint="eastAsia" w:ascii="宋体" w:hAnsi="宋体" w:cs="宋体"/>
          <w:color w:val="auto"/>
          <w:sz w:val="24"/>
          <w:szCs w:val="24"/>
        </w:rPr>
        <w:t>从合同签订之日起至项目成果通过采购人审核为止，具体时间以采购人要求为准。</w:t>
      </w:r>
    </w:p>
    <w:p>
      <w:pPr>
        <w:spacing w:line="360" w:lineRule="auto"/>
        <w:ind w:firstLine="700" w:firstLineChars="292"/>
        <w:rPr>
          <w:rFonts w:ascii="宋体" w:hAnsi="宋体" w:cs="宋体"/>
          <w:color w:val="auto"/>
          <w:sz w:val="24"/>
          <w:szCs w:val="24"/>
        </w:rPr>
      </w:pPr>
      <w:r>
        <w:rPr>
          <w:rFonts w:hint="eastAsia" w:ascii="宋体" w:hAnsi="宋体" w:cs="宋体"/>
          <w:color w:val="auto"/>
          <w:sz w:val="24"/>
          <w:szCs w:val="24"/>
        </w:rPr>
        <w:t>（二）实施地点</w:t>
      </w:r>
    </w:p>
    <w:p>
      <w:pPr>
        <w:spacing w:line="360" w:lineRule="auto"/>
        <w:ind w:firstLine="700" w:firstLineChars="292"/>
        <w:rPr>
          <w:rFonts w:ascii="宋体" w:hAnsi="宋体" w:cs="宋体"/>
          <w:color w:val="auto"/>
          <w:sz w:val="24"/>
          <w:szCs w:val="24"/>
        </w:rPr>
      </w:pPr>
      <w:r>
        <w:rPr>
          <w:rFonts w:hint="eastAsia" w:ascii="宋体" w:hAnsi="宋体" w:cs="宋体"/>
          <w:color w:val="auto"/>
          <w:sz w:val="24"/>
          <w:szCs w:val="24"/>
        </w:rPr>
        <w:t>采购人指定地点。</w:t>
      </w:r>
    </w:p>
    <w:p>
      <w:pPr>
        <w:spacing w:line="360" w:lineRule="auto"/>
        <w:ind w:firstLine="700" w:firstLineChars="292"/>
        <w:rPr>
          <w:rFonts w:ascii="宋体" w:hAnsi="宋体" w:cs="宋体"/>
          <w:color w:val="auto"/>
          <w:sz w:val="24"/>
          <w:szCs w:val="24"/>
        </w:rPr>
      </w:pPr>
      <w:r>
        <w:rPr>
          <w:rFonts w:hint="eastAsia" w:ascii="宋体" w:hAnsi="宋体" w:cs="宋体"/>
          <w:color w:val="auto"/>
          <w:sz w:val="24"/>
          <w:szCs w:val="24"/>
        </w:rPr>
        <w:t>（三）验收方式</w:t>
      </w:r>
    </w:p>
    <w:p>
      <w:pPr>
        <w:spacing w:line="360" w:lineRule="auto"/>
        <w:ind w:firstLine="700" w:firstLineChars="292"/>
        <w:rPr>
          <w:rFonts w:ascii="宋体" w:hAnsi="宋体" w:cs="宋体"/>
          <w:color w:val="auto"/>
          <w:sz w:val="24"/>
          <w:szCs w:val="24"/>
        </w:rPr>
      </w:pPr>
      <w:r>
        <w:rPr>
          <w:rFonts w:hint="eastAsia" w:ascii="宋体" w:hAnsi="宋体" w:cs="宋体"/>
          <w:color w:val="auto"/>
          <w:sz w:val="24"/>
          <w:szCs w:val="24"/>
        </w:rPr>
        <w:t>1.质量达到采购人认定的标准，满足国家及地方相关规定要求，经采购人组织专家评审，并报上级单位审核通过。</w:t>
      </w:r>
    </w:p>
    <w:p>
      <w:pPr>
        <w:spacing w:line="360" w:lineRule="auto"/>
        <w:ind w:firstLine="700" w:firstLineChars="292"/>
        <w:rPr>
          <w:rFonts w:ascii="宋体" w:hAnsi="宋体" w:cs="宋体"/>
          <w:color w:val="auto"/>
          <w:sz w:val="24"/>
          <w:szCs w:val="24"/>
        </w:rPr>
      </w:pPr>
      <w:r>
        <w:rPr>
          <w:rFonts w:hint="eastAsia" w:ascii="宋体" w:hAnsi="宋体" w:cs="宋体"/>
          <w:color w:val="auto"/>
          <w:sz w:val="24"/>
          <w:szCs w:val="24"/>
        </w:rPr>
        <w:t>2.提供咨询服务成果份数：纸质文件六份及电子文件一份。</w:t>
      </w:r>
    </w:p>
    <w:p>
      <w:pPr>
        <w:pStyle w:val="4"/>
        <w:spacing w:before="0" w:after="0" w:line="360" w:lineRule="auto"/>
        <w:rPr>
          <w:rFonts w:ascii="宋体" w:hAnsi="宋体" w:cs="宋体"/>
          <w:color w:val="auto"/>
          <w:sz w:val="24"/>
          <w:szCs w:val="24"/>
        </w:rPr>
      </w:pPr>
      <w:bookmarkStart w:id="24" w:name="_Toc18851"/>
      <w:r>
        <w:rPr>
          <w:rFonts w:hint="eastAsia" w:ascii="宋体" w:hAnsi="宋体" w:cs="宋体"/>
          <w:color w:val="auto"/>
          <w:sz w:val="24"/>
          <w:szCs w:val="24"/>
        </w:rPr>
        <w:t>二、报价要求</w:t>
      </w:r>
      <w:bookmarkEnd w:id="23"/>
      <w:bookmarkEnd w:id="24"/>
    </w:p>
    <w:p>
      <w:pPr>
        <w:snapToGrid w:val="0"/>
        <w:spacing w:line="360" w:lineRule="auto"/>
        <w:ind w:firstLine="540"/>
        <w:rPr>
          <w:rFonts w:ascii="宋体" w:hAnsi="宋体"/>
          <w:color w:val="auto"/>
          <w:sz w:val="24"/>
          <w:szCs w:val="24"/>
        </w:rPr>
      </w:pPr>
      <w:bookmarkStart w:id="25" w:name="_Toc466546916"/>
      <w:r>
        <w:rPr>
          <w:rFonts w:hint="eastAsia" w:ascii="宋体" w:hAnsi="宋体"/>
          <w:color w:val="auto"/>
          <w:sz w:val="24"/>
          <w:szCs w:val="24"/>
        </w:rPr>
        <w:t>本项目报价应包括完成项目的全部费用，包括完成本项目所需全部成本、税费、利润等的总和及其它与本项目相关的一切费用。因供应商自身原因造成漏报、少报皆由其自行承担责任，采购人不再补偿。</w:t>
      </w:r>
    </w:p>
    <w:p>
      <w:pPr>
        <w:snapToGrid w:val="0"/>
        <w:spacing w:line="360" w:lineRule="auto"/>
        <w:ind w:firstLine="540"/>
        <w:rPr>
          <w:rFonts w:ascii="宋体" w:hAnsi="宋体" w:cs="方正仿宋_GBK"/>
          <w:color w:val="auto"/>
          <w:sz w:val="24"/>
          <w:szCs w:val="24"/>
        </w:rPr>
      </w:pPr>
      <w:r>
        <w:rPr>
          <w:rFonts w:hint="eastAsia" w:ascii="宋体" w:hAnsi="宋体"/>
          <w:color w:val="auto"/>
          <w:sz w:val="24"/>
          <w:szCs w:val="24"/>
        </w:rPr>
        <w:t>1.报价方式：供应商提交包干价报价。（保留两位小数）</w:t>
      </w:r>
    </w:p>
    <w:p>
      <w:pPr>
        <w:snapToGrid w:val="0"/>
        <w:spacing w:line="360" w:lineRule="auto"/>
        <w:ind w:firstLine="540"/>
        <w:rPr>
          <w:rFonts w:ascii="宋体" w:hAnsi="宋体"/>
          <w:color w:val="auto"/>
          <w:sz w:val="24"/>
          <w:szCs w:val="24"/>
        </w:rPr>
      </w:pPr>
      <w:r>
        <w:rPr>
          <w:rFonts w:hint="eastAsia" w:ascii="宋体" w:hAnsi="宋体"/>
          <w:color w:val="auto"/>
          <w:sz w:val="24"/>
          <w:szCs w:val="24"/>
        </w:rPr>
        <w:t>2．成交报价不作调整。即在本次采购范围内，无论国家政策调整，无论法规、标准及市场因素的变化，成交报价不作调整。</w:t>
      </w:r>
    </w:p>
    <w:p>
      <w:pPr>
        <w:snapToGrid w:val="0"/>
        <w:spacing w:line="360" w:lineRule="auto"/>
        <w:ind w:firstLine="540"/>
        <w:rPr>
          <w:rFonts w:ascii="宋体" w:hAnsi="宋体" w:cs="宋体"/>
          <w:color w:val="auto"/>
          <w:sz w:val="24"/>
          <w:szCs w:val="24"/>
        </w:rPr>
      </w:pPr>
      <w:r>
        <w:rPr>
          <w:rFonts w:hint="eastAsia" w:ascii="宋体" w:hAnsi="宋体"/>
          <w:color w:val="auto"/>
          <w:sz w:val="24"/>
          <w:szCs w:val="24"/>
        </w:rPr>
        <w:t>3.本项目的报价货币为人民币，报价保留小数点后两位。</w:t>
      </w:r>
    </w:p>
    <w:p>
      <w:pPr>
        <w:pStyle w:val="4"/>
        <w:spacing w:before="0" w:after="0" w:line="360" w:lineRule="auto"/>
        <w:rPr>
          <w:rFonts w:ascii="宋体" w:hAnsi="宋体" w:cs="宋体"/>
          <w:color w:val="auto"/>
          <w:sz w:val="24"/>
          <w:szCs w:val="24"/>
        </w:rPr>
      </w:pPr>
      <w:bookmarkStart w:id="26" w:name="_Toc6096"/>
      <w:r>
        <w:rPr>
          <w:rFonts w:hint="eastAsia" w:ascii="宋体" w:hAnsi="宋体" w:cs="宋体"/>
          <w:color w:val="auto"/>
          <w:sz w:val="24"/>
          <w:szCs w:val="24"/>
        </w:rPr>
        <w:t>三、付款方式</w:t>
      </w:r>
      <w:bookmarkEnd w:id="25"/>
      <w:bookmarkEnd w:id="26"/>
      <w:bookmarkStart w:id="27" w:name="_Toc466546917"/>
    </w:p>
    <w:p>
      <w:pPr>
        <w:spacing w:line="440" w:lineRule="exact"/>
        <w:ind w:firstLine="352" w:firstLineChars="147"/>
        <w:rPr>
          <w:rFonts w:ascii="宋体" w:hAnsi="宋体"/>
          <w:color w:val="auto"/>
          <w:sz w:val="24"/>
          <w:szCs w:val="22"/>
        </w:rPr>
      </w:pPr>
      <w:r>
        <w:rPr>
          <w:rFonts w:hint="eastAsia" w:ascii="宋体" w:hAnsi="宋体"/>
          <w:color w:val="auto"/>
          <w:sz w:val="24"/>
          <w:szCs w:val="22"/>
        </w:rPr>
        <w:t>1.经采购人审批流程验收，经专家评审合格，并报上级单位审核通过后一次性支付。</w:t>
      </w:r>
    </w:p>
    <w:p>
      <w:pPr>
        <w:spacing w:line="440" w:lineRule="exact"/>
        <w:ind w:firstLine="352" w:firstLineChars="147"/>
        <w:rPr>
          <w:rFonts w:ascii="宋体" w:hAnsi="宋体"/>
          <w:color w:val="auto"/>
          <w:sz w:val="24"/>
          <w:szCs w:val="22"/>
        </w:rPr>
      </w:pPr>
      <w:r>
        <w:rPr>
          <w:rFonts w:hint="eastAsia" w:ascii="宋体" w:hAnsi="宋体"/>
          <w:color w:val="auto"/>
          <w:sz w:val="24"/>
          <w:szCs w:val="22"/>
        </w:rPr>
        <w:t>2.付款均以转账方式进行。</w:t>
      </w:r>
    </w:p>
    <w:p>
      <w:pPr>
        <w:spacing w:line="440" w:lineRule="exact"/>
        <w:ind w:firstLine="352" w:firstLineChars="147"/>
        <w:rPr>
          <w:rFonts w:ascii="宋体" w:hAnsi="宋体"/>
          <w:color w:val="auto"/>
          <w:sz w:val="24"/>
          <w:szCs w:val="22"/>
        </w:rPr>
      </w:pPr>
      <w:r>
        <w:rPr>
          <w:rFonts w:hint="eastAsia" w:ascii="宋体" w:hAnsi="宋体"/>
          <w:color w:val="auto"/>
          <w:sz w:val="24"/>
          <w:szCs w:val="22"/>
        </w:rPr>
        <w:t>3.支付币种：双方同意用人民币支付。</w:t>
      </w:r>
    </w:p>
    <w:p>
      <w:pPr>
        <w:spacing w:line="440" w:lineRule="exact"/>
        <w:ind w:firstLine="352" w:firstLineChars="147"/>
        <w:rPr>
          <w:rFonts w:ascii="宋体" w:hAnsi="宋体"/>
          <w:color w:val="auto"/>
          <w:sz w:val="24"/>
          <w:szCs w:val="22"/>
        </w:rPr>
      </w:pPr>
      <w:r>
        <w:rPr>
          <w:rFonts w:hint="eastAsia" w:ascii="宋体" w:hAnsi="宋体"/>
          <w:color w:val="auto"/>
          <w:sz w:val="24"/>
          <w:szCs w:val="22"/>
        </w:rPr>
        <w:t>4.每次付款前，乙方应向甲方提供税务机关认可的增值税专用发票。</w:t>
      </w:r>
    </w:p>
    <w:p>
      <w:pPr>
        <w:pStyle w:val="4"/>
        <w:spacing w:before="0" w:after="0" w:line="360" w:lineRule="auto"/>
        <w:rPr>
          <w:rFonts w:ascii="宋体" w:hAnsi="宋体" w:cs="宋体"/>
          <w:color w:val="auto"/>
          <w:sz w:val="24"/>
          <w:szCs w:val="24"/>
        </w:rPr>
      </w:pPr>
      <w:bookmarkStart w:id="28" w:name="_Toc24854"/>
      <w:r>
        <w:rPr>
          <w:rFonts w:hint="eastAsia" w:ascii="宋体" w:hAnsi="宋体" w:cs="宋体"/>
          <w:color w:val="auto"/>
          <w:sz w:val="24"/>
          <w:szCs w:val="24"/>
        </w:rPr>
        <w:t>四、质量保证及服务要求</w:t>
      </w:r>
      <w:bookmarkEnd w:id="28"/>
    </w:p>
    <w:p>
      <w:pPr>
        <w:spacing w:line="360" w:lineRule="auto"/>
        <w:ind w:firstLine="352" w:firstLineChars="147"/>
        <w:rPr>
          <w:rFonts w:ascii="宋体" w:hAnsi="宋体"/>
          <w:color w:val="auto"/>
          <w:sz w:val="24"/>
          <w:szCs w:val="22"/>
        </w:rPr>
      </w:pPr>
      <w:r>
        <w:rPr>
          <w:rFonts w:hint="eastAsia" w:ascii="宋体" w:hAnsi="宋体"/>
          <w:color w:val="auto"/>
          <w:sz w:val="24"/>
          <w:szCs w:val="22"/>
        </w:rPr>
        <w:t>1.成交供应商应保证在规定的时间内完成本项目服务，应保证投入的人员资质满足采购人要求，并在项目实施过程中提供必要的技术服务。</w:t>
      </w:r>
    </w:p>
    <w:p>
      <w:pPr>
        <w:spacing w:line="360" w:lineRule="auto"/>
        <w:ind w:firstLine="352" w:firstLineChars="147"/>
        <w:rPr>
          <w:rFonts w:ascii="宋体" w:hAnsi="宋体"/>
          <w:color w:val="auto"/>
          <w:sz w:val="24"/>
          <w:szCs w:val="22"/>
        </w:rPr>
      </w:pPr>
      <w:r>
        <w:rPr>
          <w:rFonts w:hint="eastAsia" w:ascii="宋体" w:hAnsi="宋体"/>
          <w:color w:val="auto"/>
          <w:sz w:val="24"/>
          <w:szCs w:val="22"/>
        </w:rPr>
        <w:t>2.成交供应商人需委派具备相应资质、相关工作经历及相应知识水平和能力的能够胜任本项目咨询业务的专业人员，运用合理、科学的专业技能，为采购人提供具有专业水准的、严谨的、规范</w:t>
      </w:r>
      <w:r>
        <w:rPr>
          <w:rFonts w:hint="eastAsia" w:ascii="宋体" w:hAnsi="宋体"/>
          <w:color w:val="auto"/>
          <w:sz w:val="24"/>
          <w:szCs w:val="22"/>
          <w:lang w:eastAsia="zh-CN"/>
        </w:rPr>
        <w:t>的</w:t>
      </w:r>
      <w:r>
        <w:rPr>
          <w:rFonts w:hint="eastAsia" w:ascii="宋体" w:hAnsi="宋体"/>
          <w:color w:val="auto"/>
          <w:sz w:val="24"/>
          <w:szCs w:val="22"/>
        </w:rPr>
        <w:t>咨询服务，并能客观公正的处理各方利益关系。委派人员与投标文件中的投标人员一致，若更换人员需经采购人同意。</w:t>
      </w:r>
    </w:p>
    <w:p>
      <w:pPr>
        <w:pStyle w:val="4"/>
        <w:spacing w:before="0" w:after="0" w:line="360" w:lineRule="auto"/>
        <w:rPr>
          <w:rFonts w:ascii="宋体" w:hAnsi="宋体" w:cs="宋体"/>
          <w:color w:val="auto"/>
          <w:sz w:val="24"/>
          <w:szCs w:val="24"/>
        </w:rPr>
      </w:pPr>
      <w:bookmarkStart w:id="29" w:name="_Toc30033"/>
      <w:r>
        <w:rPr>
          <w:rFonts w:hint="eastAsia" w:ascii="宋体" w:hAnsi="宋体" w:cs="宋体"/>
          <w:color w:val="auto"/>
          <w:sz w:val="24"/>
          <w:szCs w:val="24"/>
        </w:rPr>
        <w:t>五、知识产权</w:t>
      </w:r>
      <w:bookmarkEnd w:id="27"/>
      <w:bookmarkEnd w:id="29"/>
    </w:p>
    <w:p>
      <w:pPr>
        <w:spacing w:line="360" w:lineRule="auto"/>
        <w:ind w:firstLine="540"/>
        <w:rPr>
          <w:rFonts w:ascii="宋体" w:hAnsi="宋体" w:cs="宋体"/>
          <w:color w:val="auto"/>
          <w:sz w:val="24"/>
          <w:szCs w:val="24"/>
        </w:rPr>
      </w:pPr>
      <w:r>
        <w:rPr>
          <w:rFonts w:hint="eastAsia" w:ascii="宋体" w:hAnsi="宋体" w:cs="宋体"/>
          <w:color w:val="auto"/>
          <w:sz w:val="24"/>
          <w:szCs w:val="24"/>
          <w:lang w:eastAsia="zh-CN"/>
        </w:rPr>
        <w:t>（</w:t>
      </w:r>
      <w:r>
        <w:rPr>
          <w:rFonts w:hint="eastAsia" w:ascii="宋体" w:hAnsi="宋体" w:cs="宋体"/>
          <w:color w:val="auto"/>
          <w:sz w:val="24"/>
          <w:szCs w:val="24"/>
        </w:rPr>
        <w:t>一</w:t>
      </w:r>
      <w:r>
        <w:rPr>
          <w:rFonts w:hint="eastAsia" w:ascii="宋体" w:hAnsi="宋体" w:cs="宋体"/>
          <w:color w:val="auto"/>
          <w:sz w:val="24"/>
          <w:szCs w:val="24"/>
          <w:lang w:eastAsia="zh-CN"/>
        </w:rPr>
        <w:t>）</w:t>
      </w:r>
      <w:r>
        <w:rPr>
          <w:rFonts w:hint="eastAsia" w:ascii="宋体" w:hAnsi="宋体" w:cs="宋体"/>
          <w:color w:val="auto"/>
          <w:sz w:val="24"/>
          <w:szCs w:val="24"/>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pacing w:line="360" w:lineRule="auto"/>
        <w:ind w:firstLine="540"/>
        <w:rPr>
          <w:rFonts w:ascii="宋体" w:hAnsi="宋体" w:cs="宋体"/>
          <w:color w:val="auto"/>
          <w:sz w:val="24"/>
          <w:szCs w:val="24"/>
        </w:rPr>
      </w:pPr>
      <w:r>
        <w:rPr>
          <w:rFonts w:hint="eastAsia" w:ascii="宋体" w:hAnsi="宋体" w:cs="宋体"/>
          <w:color w:val="auto"/>
          <w:sz w:val="24"/>
          <w:szCs w:val="24"/>
        </w:rPr>
        <w:t>（二）涉及软件开发等服务类项目知识产权的，知识产权归采购人所有。</w:t>
      </w:r>
    </w:p>
    <w:p>
      <w:pPr>
        <w:pStyle w:val="4"/>
        <w:spacing w:before="0" w:after="0" w:line="360" w:lineRule="auto"/>
        <w:rPr>
          <w:rFonts w:ascii="宋体" w:hAnsi="宋体" w:cs="宋体"/>
          <w:color w:val="auto"/>
          <w:sz w:val="24"/>
          <w:szCs w:val="24"/>
        </w:rPr>
      </w:pPr>
      <w:bookmarkStart w:id="30" w:name="_Toc1579"/>
      <w:bookmarkStart w:id="31" w:name="_Toc466546918"/>
      <w:r>
        <w:rPr>
          <w:rFonts w:hint="eastAsia" w:ascii="宋体" w:hAnsi="宋体" w:cs="宋体"/>
          <w:color w:val="auto"/>
          <w:sz w:val="24"/>
          <w:szCs w:val="24"/>
        </w:rPr>
        <w:t>六、培训</w:t>
      </w:r>
      <w:bookmarkEnd w:id="30"/>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供应商对其提供产品的使用和操作应尽培训义务。供应商应提供对采购人的基本免费培训，使采购人使用人员能够正常操作。</w:t>
      </w:r>
    </w:p>
    <w:p>
      <w:pPr>
        <w:pStyle w:val="4"/>
        <w:spacing w:before="0" w:after="0" w:line="360" w:lineRule="auto"/>
        <w:rPr>
          <w:rFonts w:ascii="宋体" w:hAnsi="宋体" w:cs="宋体"/>
          <w:color w:val="auto"/>
          <w:sz w:val="24"/>
          <w:szCs w:val="24"/>
        </w:rPr>
      </w:pPr>
      <w:bookmarkStart w:id="32" w:name="_Toc20966"/>
      <w:r>
        <w:rPr>
          <w:rFonts w:hint="eastAsia" w:ascii="宋体" w:hAnsi="宋体" w:cs="宋体"/>
          <w:color w:val="auto"/>
          <w:sz w:val="24"/>
          <w:szCs w:val="24"/>
        </w:rPr>
        <w:t>七、其他</w:t>
      </w:r>
      <w:bookmarkEnd w:id="31"/>
      <w:bookmarkEnd w:id="32"/>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（一）供应商必须在响应文件中对以上条款和服务承诺明确列出，承诺内容必须达到本篇及竞争性磋商文件其他条款的要求。</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（二）其他未尽事宜由供需双方在采购合同中详细约定。</w:t>
      </w:r>
    </w:p>
    <w:p>
      <w:pPr>
        <w:pStyle w:val="3"/>
        <w:pageBreakBefore/>
        <w:spacing w:before="0" w:after="0" w:line="360" w:lineRule="auto"/>
        <w:jc w:val="center"/>
        <w:rPr>
          <w:rFonts w:ascii="宋体" w:hAnsi="宋体" w:eastAsia="宋体" w:cs="宋体"/>
          <w:b w:val="0"/>
          <w:color w:val="auto"/>
          <w:sz w:val="36"/>
          <w:szCs w:val="30"/>
        </w:rPr>
      </w:pPr>
      <w:bookmarkStart w:id="33" w:name="_Toc32522"/>
      <w:r>
        <w:rPr>
          <w:rFonts w:hint="eastAsia" w:ascii="宋体" w:hAnsi="宋体" w:eastAsia="宋体" w:cs="宋体"/>
          <w:b w:val="0"/>
          <w:color w:val="auto"/>
          <w:sz w:val="36"/>
          <w:szCs w:val="30"/>
        </w:rPr>
        <w:t>第四篇  磋商程序及方法、评审标准、无效响应和</w:t>
      </w:r>
      <w:r>
        <w:rPr>
          <w:rFonts w:hint="eastAsia" w:ascii="宋体" w:hAnsi="宋体" w:eastAsia="宋体" w:cs="宋体"/>
          <w:b w:val="0"/>
          <w:color w:val="auto"/>
          <w:sz w:val="36"/>
          <w:szCs w:val="36"/>
        </w:rPr>
        <w:t>采购终止</w:t>
      </w:r>
      <w:bookmarkEnd w:id="33"/>
    </w:p>
    <w:p>
      <w:pPr>
        <w:pStyle w:val="4"/>
        <w:spacing w:before="0" w:after="0" w:line="360" w:lineRule="auto"/>
        <w:rPr>
          <w:rFonts w:ascii="宋体" w:hAnsi="宋体" w:cs="宋体"/>
          <w:color w:val="auto"/>
          <w:sz w:val="24"/>
          <w:szCs w:val="24"/>
        </w:rPr>
      </w:pPr>
      <w:bookmarkStart w:id="34" w:name="_Toc25872"/>
      <w:r>
        <w:rPr>
          <w:rFonts w:hint="eastAsia" w:ascii="宋体" w:hAnsi="宋体" w:cs="宋体"/>
          <w:color w:val="auto"/>
          <w:sz w:val="24"/>
          <w:szCs w:val="24"/>
        </w:rPr>
        <w:t>一、磋商程序及方法</w:t>
      </w:r>
      <w:bookmarkEnd w:id="34"/>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（一）磋商按竞争性磋商文件规定的时间和地点进行，供应商须有法定代表人或其授权代表参加并签到。竞争性磋商以抽签的形式确定磋商顺序，由本项目依法组建的磋商小组分别与各供应商进行磋商。</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（二）磋商小组对各供应商的资格条件、响应文件的有效性、完整性和响应程度进行审查。各供应商只有在完全符合要求的前提下，才能参与正式磋商。</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1.资格性检查。依据法律法规和竞争性磋商文件的规定，对响应文件中的资格证明、等进行审查，以确定供应商是否具备磋商资格。资格性检查资料表如下：</w:t>
      </w:r>
    </w:p>
    <w:tbl>
      <w:tblPr>
        <w:tblStyle w:val="1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6"/>
        <w:gridCol w:w="767"/>
        <w:gridCol w:w="2643"/>
        <w:gridCol w:w="5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96" w:type="dxa"/>
            <w:vAlign w:val="center"/>
          </w:tcPr>
          <w:p>
            <w:pPr>
              <w:jc w:val="center"/>
              <w:rPr>
                <w:rFonts w:ascii="宋体" w:hAnsi="宋体" w:cs="宋体"/>
                <w:b/>
                <w:color w:val="auto"/>
                <w:kern w:val="0"/>
                <w:sz w:val="21"/>
                <w:szCs w:val="21"/>
              </w:rPr>
            </w:pPr>
            <w:r>
              <w:rPr>
                <w:rFonts w:hint="eastAsia" w:ascii="宋体" w:hAnsi="宋体" w:cs="宋体"/>
                <w:bCs/>
                <w:color w:val="auto"/>
                <w:sz w:val="21"/>
                <w:szCs w:val="21"/>
              </w:rPr>
              <w:t>序号</w:t>
            </w:r>
          </w:p>
        </w:tc>
        <w:tc>
          <w:tcPr>
            <w:tcW w:w="3410" w:type="dxa"/>
            <w:gridSpan w:val="2"/>
            <w:vAlign w:val="center"/>
          </w:tcPr>
          <w:p>
            <w:pPr>
              <w:jc w:val="center"/>
              <w:rPr>
                <w:rFonts w:ascii="宋体" w:hAnsi="宋体" w:cs="宋体"/>
                <w:b/>
                <w:color w:val="auto"/>
                <w:kern w:val="0"/>
                <w:sz w:val="21"/>
                <w:szCs w:val="21"/>
              </w:rPr>
            </w:pPr>
            <w:r>
              <w:rPr>
                <w:rFonts w:hint="eastAsia" w:ascii="宋体" w:hAnsi="宋体" w:cs="宋体"/>
                <w:bCs/>
                <w:color w:val="auto"/>
                <w:sz w:val="21"/>
                <w:szCs w:val="21"/>
              </w:rPr>
              <w:t>检查因素</w:t>
            </w:r>
          </w:p>
        </w:tc>
        <w:tc>
          <w:tcPr>
            <w:tcW w:w="5722" w:type="dxa"/>
            <w:vAlign w:val="center"/>
          </w:tcPr>
          <w:p>
            <w:pPr>
              <w:jc w:val="center"/>
              <w:rPr>
                <w:rFonts w:ascii="宋体" w:hAnsi="宋体" w:cs="宋体"/>
                <w:b/>
                <w:color w:val="auto"/>
                <w:kern w:val="0"/>
                <w:sz w:val="21"/>
                <w:szCs w:val="21"/>
              </w:rPr>
            </w:pPr>
            <w:r>
              <w:rPr>
                <w:rFonts w:hint="eastAsia" w:ascii="宋体" w:hAnsi="宋体" w:cs="宋体"/>
                <w:bCs/>
                <w:color w:val="auto"/>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496" w:type="dxa"/>
            <w:vMerge w:val="restart"/>
            <w:vAlign w:val="center"/>
          </w:tcPr>
          <w:p>
            <w:pPr>
              <w:jc w:val="center"/>
              <w:rPr>
                <w:rFonts w:ascii="宋体" w:hAnsi="宋体" w:cs="宋体"/>
                <w:color w:val="auto"/>
                <w:sz w:val="21"/>
                <w:szCs w:val="21"/>
              </w:rPr>
            </w:pPr>
            <w:r>
              <w:rPr>
                <w:rFonts w:hint="eastAsia" w:ascii="宋体" w:hAnsi="宋体" w:cs="宋体"/>
                <w:color w:val="auto"/>
                <w:sz w:val="21"/>
                <w:szCs w:val="21"/>
              </w:rPr>
              <w:t>1</w:t>
            </w:r>
          </w:p>
        </w:tc>
        <w:tc>
          <w:tcPr>
            <w:tcW w:w="767" w:type="dxa"/>
            <w:vMerge w:val="restart"/>
            <w:vAlign w:val="center"/>
          </w:tcPr>
          <w:p>
            <w:pPr>
              <w:rPr>
                <w:rFonts w:ascii="宋体" w:hAnsi="宋体" w:cs="宋体"/>
                <w:color w:val="auto"/>
                <w:sz w:val="21"/>
                <w:szCs w:val="21"/>
                <w:lang w:val="zh-CN"/>
              </w:rPr>
            </w:pPr>
            <w:r>
              <w:rPr>
                <w:rFonts w:hint="eastAsia" w:ascii="宋体" w:hAnsi="宋体" w:cs="宋体"/>
                <w:color w:val="auto"/>
                <w:sz w:val="21"/>
                <w:szCs w:val="21"/>
              </w:rPr>
              <w:t>供应商应符合的基本资格条件</w:t>
            </w:r>
          </w:p>
        </w:tc>
        <w:tc>
          <w:tcPr>
            <w:tcW w:w="2643" w:type="dxa"/>
            <w:vAlign w:val="center"/>
          </w:tcPr>
          <w:p>
            <w:pPr>
              <w:rPr>
                <w:rFonts w:ascii="宋体" w:hAnsi="宋体" w:cs="宋体"/>
                <w:color w:val="auto"/>
                <w:sz w:val="21"/>
                <w:szCs w:val="21"/>
              </w:rPr>
            </w:pPr>
            <w:r>
              <w:rPr>
                <w:rFonts w:hint="eastAsia" w:ascii="宋体" w:hAnsi="宋体" w:cs="宋体"/>
                <w:bCs/>
                <w:color w:val="auto"/>
                <w:sz w:val="21"/>
                <w:szCs w:val="21"/>
              </w:rPr>
              <w:t>1.供应商必须是依据中华人民共和国有关法律设立的，并在中华人民共和国正式注册的、具有独立法人资格或境外企业在中国境内设立分支机构的能够独立承担民事责任的企业或事业单位。</w:t>
            </w:r>
          </w:p>
        </w:tc>
        <w:tc>
          <w:tcPr>
            <w:tcW w:w="5722" w:type="dxa"/>
            <w:vAlign w:val="center"/>
          </w:tcPr>
          <w:p>
            <w:pPr>
              <w:rPr>
                <w:rFonts w:ascii="宋体" w:hAnsi="宋体" w:cs="宋体"/>
                <w:color w:val="auto"/>
                <w:sz w:val="21"/>
                <w:szCs w:val="21"/>
              </w:rPr>
            </w:pPr>
            <w:r>
              <w:rPr>
                <w:rFonts w:hint="eastAsia" w:ascii="宋体" w:hAnsi="宋体" w:cs="宋体"/>
                <w:color w:val="auto"/>
                <w:sz w:val="21"/>
                <w:szCs w:val="21"/>
              </w:rPr>
              <w:t>1.企业提供营业执照、组织机构代码证、税务登记证复印件或者三证合一；事业单位提供事业单位法人证书、组织机构代码证复印件。</w:t>
            </w:r>
          </w:p>
          <w:p>
            <w:pPr>
              <w:rPr>
                <w:rFonts w:ascii="宋体" w:hAnsi="宋体" w:cs="宋体"/>
                <w:color w:val="auto"/>
                <w:sz w:val="21"/>
                <w:szCs w:val="21"/>
              </w:rPr>
            </w:pPr>
            <w:r>
              <w:rPr>
                <w:rFonts w:hint="eastAsia" w:ascii="宋体" w:hAnsi="宋体" w:cs="宋体"/>
                <w:color w:val="auto"/>
                <w:sz w:val="21"/>
                <w:szCs w:val="21"/>
              </w:rPr>
              <w:t>2.供应商</w:t>
            </w:r>
            <w:r>
              <w:rPr>
                <w:rFonts w:hint="eastAsia" w:ascii="宋体" w:hAnsi="宋体" w:cs="宋体"/>
                <w:bCs/>
                <w:color w:val="auto"/>
                <w:sz w:val="21"/>
                <w:szCs w:val="21"/>
              </w:rPr>
              <w:t>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496" w:type="dxa"/>
            <w:vMerge w:val="continue"/>
            <w:vAlign w:val="center"/>
          </w:tcPr>
          <w:p>
            <w:pPr>
              <w:jc w:val="center"/>
              <w:rPr>
                <w:rFonts w:ascii="宋体" w:hAnsi="宋体" w:cs="宋体"/>
                <w:color w:val="auto"/>
                <w:sz w:val="21"/>
                <w:szCs w:val="21"/>
              </w:rPr>
            </w:pPr>
          </w:p>
        </w:tc>
        <w:tc>
          <w:tcPr>
            <w:tcW w:w="767" w:type="dxa"/>
            <w:vMerge w:val="continue"/>
            <w:vAlign w:val="center"/>
          </w:tcPr>
          <w:p>
            <w:pPr>
              <w:jc w:val="center"/>
              <w:rPr>
                <w:rFonts w:ascii="宋体" w:hAnsi="宋体" w:cs="宋体"/>
                <w:color w:val="auto"/>
                <w:sz w:val="21"/>
                <w:szCs w:val="21"/>
                <w:lang w:val="zh-CN"/>
              </w:rPr>
            </w:pPr>
          </w:p>
        </w:tc>
        <w:tc>
          <w:tcPr>
            <w:tcW w:w="2643" w:type="dxa"/>
            <w:vAlign w:val="center"/>
          </w:tcPr>
          <w:p>
            <w:pPr>
              <w:rPr>
                <w:rFonts w:ascii="宋体" w:hAnsi="宋体" w:cs="宋体"/>
                <w:color w:val="auto"/>
                <w:sz w:val="21"/>
                <w:szCs w:val="21"/>
              </w:rPr>
            </w:pPr>
            <w:r>
              <w:rPr>
                <w:rFonts w:hint="eastAsia" w:ascii="宋体" w:hAnsi="宋体" w:cs="宋体"/>
                <w:bCs/>
                <w:color w:val="auto"/>
                <w:sz w:val="21"/>
                <w:szCs w:val="21"/>
              </w:rPr>
              <w:t>2.提供近五年（2016-2021年）至少</w:t>
            </w:r>
            <w:r>
              <w:rPr>
                <w:rFonts w:hint="eastAsia" w:ascii="宋体" w:hAnsi="宋体" w:cs="宋体"/>
                <w:bCs/>
                <w:color w:val="auto"/>
                <w:sz w:val="21"/>
                <w:szCs w:val="21"/>
                <w:lang w:val="en-US" w:eastAsia="zh-CN"/>
              </w:rPr>
              <w:t>1</w:t>
            </w:r>
            <w:r>
              <w:rPr>
                <w:rFonts w:hint="eastAsia" w:ascii="宋体" w:hAnsi="宋体" w:cs="宋体"/>
                <w:bCs/>
                <w:color w:val="auto"/>
                <w:sz w:val="21"/>
                <w:szCs w:val="21"/>
              </w:rPr>
              <w:t>个规划咨询的类似服务业绩。</w:t>
            </w:r>
          </w:p>
        </w:tc>
        <w:tc>
          <w:tcPr>
            <w:tcW w:w="5722" w:type="dxa"/>
            <w:vAlign w:val="center"/>
          </w:tcPr>
          <w:p>
            <w:pPr>
              <w:rPr>
                <w:rFonts w:ascii="宋体" w:hAnsi="宋体" w:cs="宋体"/>
                <w:color w:val="auto"/>
                <w:sz w:val="21"/>
                <w:szCs w:val="21"/>
              </w:rPr>
            </w:pPr>
            <w:r>
              <w:rPr>
                <w:rFonts w:hint="eastAsia" w:ascii="宋体" w:hAnsi="宋体" w:cs="宋体"/>
                <w:color w:val="auto"/>
                <w:sz w:val="21"/>
                <w:szCs w:val="21"/>
              </w:rPr>
              <w:t>提供合同复印件或者工作业绩介绍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496" w:type="dxa"/>
            <w:vMerge w:val="continue"/>
            <w:vAlign w:val="center"/>
          </w:tcPr>
          <w:p>
            <w:pPr>
              <w:jc w:val="center"/>
              <w:rPr>
                <w:rFonts w:ascii="宋体" w:hAnsi="宋体" w:cs="宋体"/>
                <w:color w:val="auto"/>
                <w:sz w:val="21"/>
                <w:szCs w:val="21"/>
              </w:rPr>
            </w:pPr>
          </w:p>
        </w:tc>
        <w:tc>
          <w:tcPr>
            <w:tcW w:w="767" w:type="dxa"/>
            <w:vMerge w:val="continue"/>
            <w:vAlign w:val="center"/>
          </w:tcPr>
          <w:p>
            <w:pPr>
              <w:jc w:val="center"/>
              <w:rPr>
                <w:rFonts w:ascii="宋体" w:hAnsi="宋体" w:cs="宋体"/>
                <w:color w:val="auto"/>
                <w:sz w:val="21"/>
                <w:szCs w:val="21"/>
                <w:lang w:val="zh-CN"/>
              </w:rPr>
            </w:pPr>
          </w:p>
        </w:tc>
        <w:tc>
          <w:tcPr>
            <w:tcW w:w="2643" w:type="dxa"/>
            <w:vAlign w:val="center"/>
          </w:tcPr>
          <w:p>
            <w:pPr>
              <w:rPr>
                <w:rFonts w:ascii="宋体" w:hAnsi="宋体" w:cs="宋体"/>
                <w:color w:val="auto"/>
                <w:sz w:val="21"/>
                <w:szCs w:val="21"/>
                <w:lang w:val="zh-CN"/>
              </w:rPr>
            </w:pPr>
            <w:r>
              <w:rPr>
                <w:rFonts w:hint="eastAsia" w:ascii="宋体" w:hAnsi="宋体" w:cs="宋体"/>
                <w:bCs/>
                <w:color w:val="auto"/>
                <w:sz w:val="21"/>
                <w:szCs w:val="21"/>
              </w:rPr>
              <w:t>3.参加政府采购活动前三年内，在经营活动中没有重大违法记录。</w:t>
            </w:r>
          </w:p>
        </w:tc>
        <w:tc>
          <w:tcPr>
            <w:tcW w:w="5722" w:type="dxa"/>
            <w:vAlign w:val="center"/>
          </w:tcPr>
          <w:p>
            <w:pPr>
              <w:rPr>
                <w:rFonts w:ascii="宋体" w:hAnsi="宋体" w:cs="宋体"/>
                <w:color w:val="auto"/>
                <w:sz w:val="21"/>
                <w:szCs w:val="21"/>
              </w:rPr>
            </w:pPr>
            <w:r>
              <w:rPr>
                <w:rFonts w:hint="eastAsia" w:ascii="宋体" w:hAnsi="宋体" w:cs="宋体"/>
                <w:color w:val="auto"/>
                <w:sz w:val="21"/>
                <w:szCs w:val="21"/>
              </w:rPr>
              <w:t>1.供应商提供书面声明（见格式文件）；</w:t>
            </w:r>
          </w:p>
          <w:p>
            <w:pPr>
              <w:rPr>
                <w:rFonts w:ascii="宋体" w:hAnsi="宋体" w:cs="宋体"/>
                <w:color w:val="auto"/>
                <w:sz w:val="21"/>
                <w:szCs w:val="21"/>
              </w:rPr>
            </w:pPr>
            <w:r>
              <w:rPr>
                <w:rFonts w:hint="eastAsia" w:ascii="宋体" w:hAnsi="宋体" w:cs="宋体"/>
                <w:color w:val="auto"/>
                <w:sz w:val="21"/>
                <w:szCs w:val="21"/>
              </w:rPr>
              <w:t>2.采购人将通过“信用中国”网站</w:t>
            </w:r>
            <w:r>
              <w:rPr>
                <w:rFonts w:hint="eastAsia" w:ascii="宋体" w:hAnsi="宋体" w:cs="宋体"/>
                <w:color w:val="auto"/>
                <w:sz w:val="21"/>
                <w:szCs w:val="21"/>
                <w:lang w:eastAsia="zh-CN"/>
              </w:rPr>
              <w:t>（</w:t>
            </w:r>
            <w:r>
              <w:rPr>
                <w:rFonts w:hint="eastAsia" w:ascii="宋体" w:hAnsi="宋体" w:cs="宋体"/>
                <w:color w:val="auto"/>
                <w:sz w:val="21"/>
                <w:szCs w:val="21"/>
              </w:rPr>
              <w:t>www.creditchina.gov.cn)、“中国政府采购网”(www.ccgpgov.cn</w:t>
            </w:r>
            <w:r>
              <w:rPr>
                <w:rFonts w:hint="eastAsia" w:ascii="宋体" w:hAnsi="宋体" w:cs="宋体"/>
                <w:color w:val="auto"/>
                <w:sz w:val="21"/>
                <w:szCs w:val="21"/>
                <w:lang w:eastAsia="zh-CN"/>
              </w:rPr>
              <w:t>）</w:t>
            </w:r>
            <w:r>
              <w:rPr>
                <w:rFonts w:hint="eastAsia" w:ascii="宋体" w:hAnsi="宋体" w:cs="宋体"/>
                <w:color w:val="auto"/>
                <w:sz w:val="21"/>
                <w:szCs w:val="21"/>
              </w:rPr>
              <w:t>等渠道查询供应商信用记录，对列入失信被执行人、重大税收违法案件当事人名单、政府采购严重违法失信行为记录名单的供应商将拒绝其参与政府采购活动。</w:t>
            </w:r>
          </w:p>
        </w:tc>
      </w:tr>
    </w:tbl>
    <w:p>
      <w:pPr>
        <w:snapToGrid w:val="0"/>
        <w:spacing w:line="440" w:lineRule="exact"/>
        <w:ind w:firstLine="480" w:firstLineChars="200"/>
        <w:rPr>
          <w:rFonts w:ascii="宋体" w:hAnsi="宋体" w:cs="宋体"/>
          <w:color w:val="auto"/>
          <w:kern w:val="0"/>
          <w:sz w:val="24"/>
          <w:szCs w:val="24"/>
        </w:rPr>
      </w:pPr>
      <w:r>
        <w:rPr>
          <w:rFonts w:hint="eastAsia" w:ascii="宋体" w:hAnsi="宋体" w:cs="宋体"/>
          <w:color w:val="auto"/>
          <w:kern w:val="0"/>
          <w:sz w:val="24"/>
          <w:szCs w:val="24"/>
        </w:rPr>
        <w:t>2.符合性检查</w:t>
      </w:r>
      <w:bookmarkStart w:id="85" w:name="_GoBack"/>
      <w:bookmarkEnd w:id="85"/>
      <w:r>
        <w:rPr>
          <w:rFonts w:hint="eastAsia" w:ascii="宋体" w:hAnsi="宋体" w:cs="宋体"/>
          <w:color w:val="auto"/>
          <w:kern w:val="0"/>
          <w:sz w:val="24"/>
          <w:szCs w:val="24"/>
        </w:rPr>
        <w:t>。依据竞争性磋商文件的规定，从响应文件的有效性、完整性和对竞争性磋商文件的响应程度进行审查，以确定是否对竞争性磋商文件的实质性要求作出响应。符合性检查资料表如下：</w:t>
      </w:r>
    </w:p>
    <w:tbl>
      <w:tblPr>
        <w:tblStyle w:val="17"/>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240" w:lineRule="exact"/>
              <w:jc w:val="center"/>
              <w:rPr>
                <w:rFonts w:ascii="宋体" w:hAnsi="宋体" w:cs="宋体"/>
                <w:b/>
                <w:color w:val="auto"/>
                <w:kern w:val="0"/>
                <w:sz w:val="21"/>
                <w:szCs w:val="21"/>
              </w:rPr>
            </w:pPr>
            <w:r>
              <w:rPr>
                <w:rFonts w:hint="eastAsia" w:ascii="宋体" w:hAnsi="宋体" w:cs="宋体"/>
                <w:b/>
                <w:color w:val="auto"/>
                <w:kern w:val="0"/>
                <w:sz w:val="21"/>
                <w:szCs w:val="21"/>
              </w:rPr>
              <w:t>序号</w:t>
            </w:r>
          </w:p>
        </w:tc>
        <w:tc>
          <w:tcPr>
            <w:tcW w:w="3544" w:type="dxa"/>
            <w:gridSpan w:val="2"/>
            <w:vAlign w:val="center"/>
          </w:tcPr>
          <w:p>
            <w:pPr>
              <w:spacing w:line="240" w:lineRule="exact"/>
              <w:jc w:val="center"/>
              <w:rPr>
                <w:rFonts w:ascii="宋体" w:hAnsi="宋体" w:cs="宋体"/>
                <w:b/>
                <w:color w:val="auto"/>
                <w:kern w:val="0"/>
                <w:sz w:val="21"/>
                <w:szCs w:val="21"/>
              </w:rPr>
            </w:pPr>
            <w:r>
              <w:rPr>
                <w:rFonts w:hint="eastAsia" w:ascii="宋体" w:hAnsi="宋体" w:cs="宋体"/>
                <w:b/>
                <w:color w:val="auto"/>
                <w:kern w:val="0"/>
                <w:sz w:val="21"/>
                <w:szCs w:val="21"/>
              </w:rPr>
              <w:t>评审因素</w:t>
            </w:r>
          </w:p>
        </w:tc>
        <w:tc>
          <w:tcPr>
            <w:tcW w:w="5409" w:type="dxa"/>
            <w:vAlign w:val="center"/>
          </w:tcPr>
          <w:p>
            <w:pPr>
              <w:spacing w:line="240" w:lineRule="exact"/>
              <w:jc w:val="center"/>
              <w:rPr>
                <w:rFonts w:ascii="宋体" w:hAnsi="宋体" w:cs="宋体"/>
                <w:b/>
                <w:color w:val="auto"/>
                <w:kern w:val="0"/>
                <w:sz w:val="21"/>
                <w:szCs w:val="21"/>
              </w:rPr>
            </w:pPr>
            <w:r>
              <w:rPr>
                <w:rFonts w:hint="eastAsia" w:ascii="宋体" w:hAnsi="宋体" w:cs="宋体"/>
                <w:b/>
                <w:color w:val="auto"/>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restart"/>
            <w:vAlign w:val="center"/>
          </w:tcPr>
          <w:p>
            <w:pPr>
              <w:spacing w:line="240" w:lineRule="exact"/>
              <w:jc w:val="center"/>
              <w:rPr>
                <w:rFonts w:ascii="宋体" w:hAnsi="宋体" w:cs="宋体"/>
                <w:color w:val="auto"/>
                <w:kern w:val="0"/>
                <w:sz w:val="21"/>
                <w:szCs w:val="21"/>
              </w:rPr>
            </w:pPr>
            <w:r>
              <w:rPr>
                <w:rFonts w:hint="eastAsia" w:ascii="宋体" w:hAnsi="宋体" w:cs="宋体"/>
                <w:color w:val="auto"/>
                <w:kern w:val="0"/>
                <w:sz w:val="21"/>
                <w:szCs w:val="21"/>
              </w:rPr>
              <w:t>1</w:t>
            </w:r>
          </w:p>
        </w:tc>
        <w:tc>
          <w:tcPr>
            <w:tcW w:w="1560" w:type="dxa"/>
            <w:vMerge w:val="restart"/>
            <w:vAlign w:val="center"/>
          </w:tcPr>
          <w:p>
            <w:pPr>
              <w:spacing w:line="240" w:lineRule="exact"/>
              <w:jc w:val="center"/>
              <w:rPr>
                <w:rFonts w:ascii="宋体" w:hAnsi="宋体" w:cs="宋体"/>
                <w:color w:val="auto"/>
                <w:kern w:val="0"/>
                <w:sz w:val="21"/>
                <w:szCs w:val="21"/>
              </w:rPr>
            </w:pPr>
            <w:r>
              <w:rPr>
                <w:rFonts w:hint="eastAsia" w:ascii="宋体" w:hAnsi="宋体" w:cs="宋体"/>
                <w:color w:val="auto"/>
                <w:kern w:val="0"/>
                <w:sz w:val="21"/>
                <w:szCs w:val="21"/>
              </w:rPr>
              <w:t>有效性审查</w:t>
            </w:r>
          </w:p>
        </w:tc>
        <w:tc>
          <w:tcPr>
            <w:tcW w:w="1984" w:type="dxa"/>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rPr>
              <w:t>响应文件签署</w:t>
            </w:r>
          </w:p>
        </w:tc>
        <w:tc>
          <w:tcPr>
            <w:tcW w:w="5409" w:type="dxa"/>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675" w:type="dxa"/>
            <w:vMerge w:val="continue"/>
            <w:vAlign w:val="center"/>
          </w:tcPr>
          <w:p>
            <w:pPr>
              <w:spacing w:line="240" w:lineRule="exact"/>
              <w:jc w:val="center"/>
              <w:rPr>
                <w:rFonts w:ascii="宋体" w:hAnsi="宋体" w:cs="宋体"/>
                <w:color w:val="auto"/>
                <w:kern w:val="0"/>
                <w:sz w:val="21"/>
                <w:szCs w:val="21"/>
              </w:rPr>
            </w:pPr>
          </w:p>
        </w:tc>
        <w:tc>
          <w:tcPr>
            <w:tcW w:w="1560" w:type="dxa"/>
            <w:vMerge w:val="continue"/>
            <w:vAlign w:val="center"/>
          </w:tcPr>
          <w:p>
            <w:pPr>
              <w:spacing w:line="240" w:lineRule="exact"/>
              <w:rPr>
                <w:rFonts w:ascii="宋体" w:hAnsi="宋体" w:cs="宋体"/>
                <w:color w:val="auto"/>
                <w:kern w:val="0"/>
                <w:sz w:val="21"/>
                <w:szCs w:val="21"/>
              </w:rPr>
            </w:pPr>
          </w:p>
        </w:tc>
        <w:tc>
          <w:tcPr>
            <w:tcW w:w="1984" w:type="dxa"/>
            <w:vAlign w:val="center"/>
          </w:tcPr>
          <w:p>
            <w:pPr>
              <w:spacing w:line="240" w:lineRule="exact"/>
              <w:rPr>
                <w:rFonts w:ascii="宋体" w:hAnsi="宋体" w:cs="宋体"/>
                <w:color w:val="auto"/>
                <w:sz w:val="21"/>
                <w:szCs w:val="21"/>
              </w:rPr>
            </w:pPr>
            <w:r>
              <w:rPr>
                <w:rFonts w:hint="eastAsia" w:ascii="宋体" w:hAnsi="宋体" w:cs="宋体"/>
                <w:color w:val="auto"/>
                <w:sz w:val="21"/>
                <w:szCs w:val="21"/>
              </w:rPr>
              <w:t>法定代表人身份证明及授权委托书</w:t>
            </w:r>
          </w:p>
        </w:tc>
        <w:tc>
          <w:tcPr>
            <w:tcW w:w="5409" w:type="dxa"/>
            <w:vAlign w:val="center"/>
          </w:tcPr>
          <w:p>
            <w:pPr>
              <w:spacing w:line="240" w:lineRule="exact"/>
              <w:rPr>
                <w:rFonts w:ascii="宋体" w:hAnsi="宋体" w:cs="宋体"/>
                <w:color w:val="auto"/>
                <w:sz w:val="21"/>
                <w:szCs w:val="21"/>
              </w:rPr>
            </w:pPr>
            <w:r>
              <w:rPr>
                <w:rFonts w:hint="eastAsia" w:ascii="宋体" w:hAnsi="宋体" w:cs="宋体"/>
                <w:color w:val="auto"/>
                <w:sz w:val="21"/>
                <w:szCs w:val="21"/>
              </w:rPr>
              <w:t>法定代表人身份证明及授权委托书有效，符合竞争性磋商文件规定的格式，签字或盖章齐全。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vAlign w:val="center"/>
          </w:tcPr>
          <w:p>
            <w:pPr>
              <w:spacing w:line="240" w:lineRule="exact"/>
              <w:jc w:val="center"/>
              <w:rPr>
                <w:rFonts w:ascii="宋体" w:hAnsi="宋体" w:cs="宋体"/>
                <w:color w:val="auto"/>
                <w:kern w:val="0"/>
                <w:sz w:val="21"/>
                <w:szCs w:val="21"/>
              </w:rPr>
            </w:pPr>
          </w:p>
        </w:tc>
        <w:tc>
          <w:tcPr>
            <w:tcW w:w="1560" w:type="dxa"/>
            <w:vMerge w:val="continue"/>
            <w:vAlign w:val="center"/>
          </w:tcPr>
          <w:p>
            <w:pPr>
              <w:spacing w:line="240" w:lineRule="exact"/>
              <w:rPr>
                <w:rFonts w:ascii="宋体" w:hAnsi="宋体" w:cs="宋体"/>
                <w:color w:val="auto"/>
                <w:kern w:val="0"/>
                <w:sz w:val="21"/>
                <w:szCs w:val="21"/>
              </w:rPr>
            </w:pPr>
          </w:p>
        </w:tc>
        <w:tc>
          <w:tcPr>
            <w:tcW w:w="1984" w:type="dxa"/>
            <w:vAlign w:val="center"/>
          </w:tcPr>
          <w:p>
            <w:pPr>
              <w:spacing w:line="240" w:lineRule="exact"/>
              <w:rPr>
                <w:rFonts w:ascii="宋体" w:hAnsi="宋体" w:cs="宋体"/>
                <w:color w:val="auto"/>
                <w:sz w:val="21"/>
                <w:szCs w:val="21"/>
                <w:lang w:val="zh-CN"/>
              </w:rPr>
            </w:pPr>
            <w:r>
              <w:rPr>
                <w:rFonts w:hint="eastAsia" w:ascii="宋体" w:hAnsi="宋体" w:cs="宋体"/>
                <w:color w:val="auto"/>
                <w:sz w:val="21"/>
                <w:szCs w:val="21"/>
              </w:rPr>
              <w:t>响应</w:t>
            </w:r>
            <w:r>
              <w:rPr>
                <w:rFonts w:hint="eastAsia" w:ascii="宋体" w:hAnsi="宋体" w:cs="宋体"/>
                <w:color w:val="auto"/>
                <w:sz w:val="21"/>
                <w:szCs w:val="21"/>
                <w:lang w:val="zh-CN"/>
              </w:rPr>
              <w:t>方案</w:t>
            </w:r>
          </w:p>
        </w:tc>
        <w:tc>
          <w:tcPr>
            <w:tcW w:w="5409" w:type="dxa"/>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lang w:val="zh-CN"/>
              </w:rPr>
              <w:t>每个分包只能有一个</w:t>
            </w:r>
            <w:r>
              <w:rPr>
                <w:rFonts w:hint="eastAsia" w:ascii="宋体" w:hAnsi="宋体" w:cs="宋体"/>
                <w:color w:val="auto"/>
                <w:sz w:val="21"/>
                <w:szCs w:val="21"/>
              </w:rPr>
              <w:t>响应</w:t>
            </w:r>
            <w:r>
              <w:rPr>
                <w:rFonts w:hint="eastAsia" w:ascii="宋体" w:hAnsi="宋体" w:cs="宋体"/>
                <w:color w:val="auto"/>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vAlign w:val="center"/>
          </w:tcPr>
          <w:p>
            <w:pPr>
              <w:spacing w:line="240" w:lineRule="exact"/>
              <w:jc w:val="center"/>
              <w:rPr>
                <w:rFonts w:ascii="宋体" w:hAnsi="宋体" w:cs="宋体"/>
                <w:color w:val="auto"/>
                <w:kern w:val="0"/>
                <w:sz w:val="21"/>
                <w:szCs w:val="21"/>
              </w:rPr>
            </w:pPr>
          </w:p>
        </w:tc>
        <w:tc>
          <w:tcPr>
            <w:tcW w:w="1560" w:type="dxa"/>
            <w:vMerge w:val="continue"/>
            <w:vAlign w:val="center"/>
          </w:tcPr>
          <w:p>
            <w:pPr>
              <w:spacing w:line="240" w:lineRule="exact"/>
              <w:rPr>
                <w:rFonts w:ascii="宋体" w:hAnsi="宋体" w:cs="宋体"/>
                <w:color w:val="auto"/>
                <w:kern w:val="0"/>
                <w:sz w:val="21"/>
                <w:szCs w:val="21"/>
              </w:rPr>
            </w:pPr>
          </w:p>
        </w:tc>
        <w:tc>
          <w:tcPr>
            <w:tcW w:w="1984" w:type="dxa"/>
            <w:vAlign w:val="center"/>
          </w:tcPr>
          <w:p>
            <w:pPr>
              <w:spacing w:line="240" w:lineRule="exact"/>
              <w:rPr>
                <w:rFonts w:ascii="宋体" w:hAnsi="宋体" w:cs="宋体"/>
                <w:color w:val="auto"/>
                <w:sz w:val="21"/>
                <w:szCs w:val="21"/>
                <w:lang w:val="zh-CN"/>
              </w:rPr>
            </w:pPr>
            <w:r>
              <w:rPr>
                <w:rFonts w:hint="eastAsia" w:ascii="宋体" w:hAnsi="宋体" w:cs="宋体"/>
                <w:color w:val="auto"/>
                <w:sz w:val="21"/>
                <w:szCs w:val="21"/>
              </w:rPr>
              <w:t>报价唯一</w:t>
            </w:r>
          </w:p>
        </w:tc>
        <w:tc>
          <w:tcPr>
            <w:tcW w:w="5409" w:type="dxa"/>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240" w:lineRule="exact"/>
              <w:jc w:val="center"/>
              <w:rPr>
                <w:rFonts w:ascii="宋体" w:hAnsi="宋体" w:cs="宋体"/>
                <w:color w:val="auto"/>
                <w:kern w:val="0"/>
                <w:sz w:val="21"/>
                <w:szCs w:val="21"/>
              </w:rPr>
            </w:pPr>
            <w:r>
              <w:rPr>
                <w:rFonts w:hint="eastAsia" w:ascii="宋体" w:hAnsi="宋体" w:cs="宋体"/>
                <w:color w:val="auto"/>
                <w:kern w:val="0"/>
                <w:sz w:val="21"/>
                <w:szCs w:val="21"/>
              </w:rPr>
              <w:t>2</w:t>
            </w:r>
          </w:p>
        </w:tc>
        <w:tc>
          <w:tcPr>
            <w:tcW w:w="1560" w:type="dxa"/>
            <w:vAlign w:val="center"/>
          </w:tcPr>
          <w:p>
            <w:pPr>
              <w:spacing w:line="240" w:lineRule="exact"/>
              <w:jc w:val="center"/>
              <w:rPr>
                <w:rFonts w:ascii="宋体" w:hAnsi="宋体" w:cs="宋体"/>
                <w:color w:val="auto"/>
                <w:kern w:val="0"/>
                <w:sz w:val="21"/>
                <w:szCs w:val="21"/>
              </w:rPr>
            </w:pPr>
            <w:r>
              <w:rPr>
                <w:rFonts w:hint="eastAsia" w:ascii="宋体" w:hAnsi="宋体" w:cs="宋体"/>
                <w:color w:val="auto"/>
                <w:kern w:val="0"/>
                <w:sz w:val="21"/>
                <w:szCs w:val="21"/>
              </w:rPr>
              <w:t>完整性审查</w:t>
            </w:r>
          </w:p>
        </w:tc>
        <w:tc>
          <w:tcPr>
            <w:tcW w:w="1984" w:type="dxa"/>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rPr>
              <w:t>响应</w:t>
            </w:r>
            <w:r>
              <w:rPr>
                <w:rFonts w:hint="eastAsia" w:ascii="宋体" w:hAnsi="宋体" w:cs="宋体"/>
                <w:color w:val="auto"/>
                <w:sz w:val="21"/>
                <w:szCs w:val="21"/>
                <w:lang w:val="zh-CN"/>
              </w:rPr>
              <w:t>文件份数</w:t>
            </w:r>
          </w:p>
        </w:tc>
        <w:tc>
          <w:tcPr>
            <w:tcW w:w="5409" w:type="dxa"/>
            <w:vAlign w:val="center"/>
          </w:tcPr>
          <w:p>
            <w:pPr>
              <w:spacing w:line="240" w:lineRule="exact"/>
              <w:rPr>
                <w:rFonts w:ascii="宋体" w:hAnsi="宋体" w:cs="宋体"/>
                <w:color w:val="auto"/>
                <w:kern w:val="0"/>
                <w:sz w:val="21"/>
                <w:szCs w:val="21"/>
              </w:rPr>
            </w:pPr>
            <w:r>
              <w:rPr>
                <w:rFonts w:hint="eastAsia" w:ascii="宋体" w:hAnsi="宋体" w:cs="宋体"/>
                <w:color w:val="auto"/>
                <w:sz w:val="21"/>
                <w:szCs w:val="21"/>
              </w:rPr>
              <w:t>响应</w:t>
            </w:r>
            <w:r>
              <w:rPr>
                <w:rFonts w:hint="eastAsia" w:ascii="宋体" w:hAnsi="宋体" w:cs="宋体"/>
                <w:color w:val="auto"/>
                <w:sz w:val="21"/>
                <w:szCs w:val="21"/>
                <w:lang w:val="zh-CN"/>
              </w:rPr>
              <w:t>文件正、副本数量（含电子文档）符合</w:t>
            </w:r>
            <w:r>
              <w:rPr>
                <w:rFonts w:hint="eastAsia" w:ascii="宋体" w:hAnsi="宋体" w:cs="宋体"/>
                <w:color w:val="auto"/>
                <w:sz w:val="21"/>
                <w:szCs w:val="21"/>
              </w:rPr>
              <w:t>竞争性磋商</w:t>
            </w:r>
            <w:r>
              <w:rPr>
                <w:rFonts w:hint="eastAsia" w:ascii="宋体" w:hAnsi="宋体" w:cs="宋体"/>
                <w:color w:val="auto"/>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restart"/>
            <w:vAlign w:val="center"/>
          </w:tcPr>
          <w:p>
            <w:pPr>
              <w:spacing w:line="240" w:lineRule="exact"/>
              <w:jc w:val="center"/>
              <w:rPr>
                <w:rFonts w:ascii="宋体" w:hAnsi="宋体" w:cs="宋体"/>
                <w:color w:val="auto"/>
                <w:kern w:val="0"/>
                <w:sz w:val="21"/>
                <w:szCs w:val="21"/>
              </w:rPr>
            </w:pPr>
            <w:r>
              <w:rPr>
                <w:rFonts w:hint="eastAsia" w:ascii="宋体" w:hAnsi="宋体" w:cs="宋体"/>
                <w:color w:val="auto"/>
                <w:kern w:val="0"/>
                <w:sz w:val="21"/>
                <w:szCs w:val="21"/>
              </w:rPr>
              <w:t>3</w:t>
            </w:r>
          </w:p>
        </w:tc>
        <w:tc>
          <w:tcPr>
            <w:tcW w:w="1560" w:type="dxa"/>
            <w:vMerge w:val="restart"/>
            <w:vAlign w:val="center"/>
          </w:tcPr>
          <w:p>
            <w:pPr>
              <w:spacing w:line="240" w:lineRule="exact"/>
              <w:jc w:val="center"/>
              <w:rPr>
                <w:rFonts w:ascii="宋体" w:hAnsi="宋体" w:cs="宋体"/>
                <w:color w:val="auto"/>
                <w:sz w:val="21"/>
                <w:szCs w:val="21"/>
                <w:lang w:val="zh-CN"/>
              </w:rPr>
            </w:pPr>
            <w:r>
              <w:rPr>
                <w:rFonts w:hint="eastAsia" w:ascii="宋体" w:hAnsi="宋体" w:cs="宋体"/>
                <w:color w:val="auto"/>
                <w:kern w:val="0"/>
                <w:sz w:val="21"/>
                <w:szCs w:val="21"/>
              </w:rPr>
              <w:t>竞争性磋商文件的响应程度审查</w:t>
            </w:r>
          </w:p>
        </w:tc>
        <w:tc>
          <w:tcPr>
            <w:tcW w:w="1984" w:type="dxa"/>
            <w:vAlign w:val="center"/>
          </w:tcPr>
          <w:p>
            <w:pPr>
              <w:spacing w:line="240" w:lineRule="exact"/>
              <w:rPr>
                <w:rFonts w:ascii="宋体" w:hAnsi="宋体" w:cs="宋体"/>
                <w:color w:val="auto"/>
                <w:kern w:val="0"/>
                <w:sz w:val="21"/>
                <w:szCs w:val="21"/>
              </w:rPr>
            </w:pPr>
            <w:r>
              <w:rPr>
                <w:rFonts w:hint="eastAsia" w:ascii="宋体" w:hAnsi="宋体" w:cs="宋体"/>
                <w:color w:val="auto"/>
                <w:kern w:val="0"/>
                <w:sz w:val="21"/>
                <w:szCs w:val="21"/>
              </w:rPr>
              <w:t>响应文件内容</w:t>
            </w:r>
          </w:p>
        </w:tc>
        <w:tc>
          <w:tcPr>
            <w:tcW w:w="5409" w:type="dxa"/>
            <w:vAlign w:val="center"/>
          </w:tcPr>
          <w:p>
            <w:pPr>
              <w:pStyle w:val="10"/>
              <w:spacing w:line="240" w:lineRule="exact"/>
              <w:rPr>
                <w:rFonts w:ascii="宋体" w:hAnsi="宋体" w:cs="宋体"/>
                <w:color w:val="auto"/>
                <w:kern w:val="0"/>
                <w:sz w:val="21"/>
                <w:szCs w:val="21"/>
              </w:rPr>
            </w:pPr>
            <w:r>
              <w:rPr>
                <w:rFonts w:hint="eastAsia" w:ascii="宋体" w:hAnsi="宋体" w:cs="宋体"/>
                <w:color w:val="auto"/>
                <w:kern w:val="0"/>
                <w:sz w:val="21"/>
                <w:szCs w:val="21"/>
              </w:rPr>
              <w:t>对竞争性磋商文件第二篇带</w:t>
            </w:r>
            <w:r>
              <w:rPr>
                <w:rFonts w:hint="eastAsia" w:ascii="宋体" w:hAnsi="宋体" w:cs="仿宋_GB2312"/>
                <w:color w:val="auto"/>
                <w:sz w:val="21"/>
                <w:szCs w:val="21"/>
                <w:lang w:val="zh-CN"/>
              </w:rPr>
              <w:t>※</w:t>
            </w:r>
            <w:r>
              <w:rPr>
                <w:rFonts w:hint="eastAsia" w:ascii="宋体" w:hAnsi="宋体" w:cs="宋体"/>
                <w:color w:val="auto"/>
                <w:kern w:val="0"/>
                <w:sz w:val="21"/>
                <w:szCs w:val="21"/>
              </w:rPr>
              <w:t>及第三篇带</w:t>
            </w:r>
            <w:r>
              <w:rPr>
                <w:rFonts w:hint="eastAsia" w:ascii="宋体" w:hAnsi="宋体" w:cs="仿宋_GB2312"/>
                <w:color w:val="auto"/>
                <w:sz w:val="21"/>
                <w:szCs w:val="21"/>
                <w:lang w:val="zh-CN"/>
              </w:rPr>
              <w:t>※</w:t>
            </w:r>
            <w:r>
              <w:rPr>
                <w:rFonts w:hint="eastAsia" w:ascii="宋体" w:hAnsi="宋体" w:cs="宋体"/>
                <w:color w:val="auto"/>
                <w:kern w:val="0"/>
                <w:sz w:val="21"/>
                <w:szCs w:val="21"/>
              </w:rPr>
              <w:t>的磋商内容作出响应。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vAlign w:val="center"/>
          </w:tcPr>
          <w:p>
            <w:pPr>
              <w:spacing w:line="240" w:lineRule="exact"/>
              <w:jc w:val="center"/>
              <w:rPr>
                <w:rFonts w:ascii="宋体" w:hAnsi="宋体" w:cs="宋体"/>
                <w:color w:val="auto"/>
                <w:kern w:val="0"/>
                <w:sz w:val="21"/>
                <w:szCs w:val="21"/>
              </w:rPr>
            </w:pPr>
          </w:p>
        </w:tc>
        <w:tc>
          <w:tcPr>
            <w:tcW w:w="1560" w:type="dxa"/>
            <w:vMerge w:val="continue"/>
            <w:vAlign w:val="center"/>
          </w:tcPr>
          <w:p>
            <w:pPr>
              <w:spacing w:line="240" w:lineRule="exact"/>
              <w:rPr>
                <w:rFonts w:ascii="宋体" w:hAnsi="宋体" w:cs="宋体"/>
                <w:color w:val="auto"/>
                <w:sz w:val="21"/>
                <w:szCs w:val="21"/>
                <w:lang w:val="zh-CN"/>
              </w:rPr>
            </w:pPr>
          </w:p>
        </w:tc>
        <w:tc>
          <w:tcPr>
            <w:tcW w:w="1984" w:type="dxa"/>
            <w:vAlign w:val="center"/>
          </w:tcPr>
          <w:p>
            <w:pPr>
              <w:spacing w:line="240" w:lineRule="exact"/>
              <w:rPr>
                <w:rFonts w:ascii="宋体" w:hAnsi="宋体" w:cs="宋体"/>
                <w:color w:val="auto"/>
                <w:kern w:val="0"/>
                <w:sz w:val="21"/>
                <w:szCs w:val="21"/>
              </w:rPr>
            </w:pPr>
            <w:r>
              <w:rPr>
                <w:rFonts w:hint="eastAsia" w:ascii="宋体" w:hAnsi="宋体" w:cs="宋体"/>
                <w:color w:val="auto"/>
                <w:kern w:val="0"/>
                <w:sz w:val="21"/>
                <w:szCs w:val="21"/>
              </w:rPr>
              <w:t>磋商有效期</w:t>
            </w:r>
          </w:p>
        </w:tc>
        <w:tc>
          <w:tcPr>
            <w:tcW w:w="5409" w:type="dxa"/>
            <w:vAlign w:val="center"/>
          </w:tcPr>
          <w:p>
            <w:pPr>
              <w:spacing w:line="240" w:lineRule="exact"/>
              <w:rPr>
                <w:rFonts w:ascii="宋体" w:hAnsi="宋体" w:cs="宋体"/>
                <w:color w:val="auto"/>
                <w:kern w:val="0"/>
                <w:sz w:val="21"/>
                <w:szCs w:val="21"/>
              </w:rPr>
            </w:pPr>
            <w:r>
              <w:rPr>
                <w:rFonts w:hint="eastAsia" w:ascii="宋体" w:hAnsi="宋体" w:cs="宋体"/>
                <w:color w:val="auto"/>
                <w:kern w:val="0"/>
                <w:sz w:val="21"/>
                <w:szCs w:val="21"/>
              </w:rPr>
              <w:t>满足磋商文件</w:t>
            </w:r>
            <w:r>
              <w:rPr>
                <w:rFonts w:hint="eastAsia" w:ascii="宋体" w:hAnsi="宋体" w:cs="宋体"/>
                <w:color w:val="auto"/>
                <w:sz w:val="21"/>
                <w:szCs w:val="21"/>
                <w:lang w:val="zh-CN"/>
              </w:rPr>
              <w:t>规定。</w:t>
            </w:r>
          </w:p>
        </w:tc>
      </w:tr>
    </w:tbl>
    <w:p>
      <w:pPr>
        <w:spacing w:line="400" w:lineRule="exact"/>
        <w:ind w:firstLine="480" w:firstLineChars="200"/>
        <w:rPr>
          <w:rFonts w:ascii="宋体" w:hAnsi="宋体" w:cs="宋体"/>
          <w:color w:val="auto"/>
          <w:sz w:val="24"/>
          <w:szCs w:val="24"/>
        </w:rPr>
      </w:pPr>
    </w:p>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四）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（五）在磋商过程中磋商的任何一方不得向他人透露与磋商有关的服务资料或其他信息。</w:t>
      </w:r>
    </w:p>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（七）供应商在磋商时作出的所有书面承诺须由法定代表人或其授权代表签字。</w:t>
      </w:r>
    </w:p>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八）经磋商确定最终采购需求且磋商结束后，供应商应当按照竞争性磋商文件的变动情况和磋商小组的要求重新提交响应文件或重新做出相关的书面承诺，最后书面提交最后报价及有关承诺。已提交响应文件但未在规定时间内进行最后报价的供应商，视为放弃最后报价，以供应商响应文件中的报价为准。</w:t>
      </w:r>
    </w:p>
    <w:p>
      <w:pPr>
        <w:spacing w:line="480" w:lineRule="exact"/>
        <w:ind w:firstLine="480" w:firstLineChars="200"/>
        <w:rPr>
          <w:rFonts w:ascii="宋体" w:hAnsi="宋体" w:cs="宋体"/>
          <w:color w:val="auto"/>
          <w:sz w:val="24"/>
          <w:szCs w:val="24"/>
        </w:rPr>
      </w:pPr>
      <w:r>
        <w:rPr>
          <w:rFonts w:hint="eastAsia" w:ascii="宋体" w:hAnsi="宋体" w:cs="宋体"/>
          <w:color w:val="auto"/>
          <w:sz w:val="24"/>
          <w:szCs w:val="24"/>
        </w:rPr>
        <w:t>（九）磋商小组采用综合评分法对供应商的响应文件和最后报价（含有效书面承诺）进行综合评分。</w:t>
      </w:r>
      <w:r>
        <w:rPr>
          <w:rFonts w:hint="eastAsia" w:ascii="宋体" w:hAnsi="宋体" w:cs="宋体"/>
          <w:color w:val="auto"/>
          <w:kern w:val="0"/>
          <w:sz w:val="24"/>
          <w:szCs w:val="24"/>
        </w:rPr>
        <w:t>综合评分法，是指响应文件满足竞争性磋商文件全部实质性要求且按照评审因素的量化指标评审得分最高的供应商为成交候选供应商的评审方法。供应商总得分为价格、服务、商务等评定因素分别按照相应权重值计算分项得分后相加，满分为100分</w:t>
      </w:r>
      <w:r>
        <w:rPr>
          <w:rFonts w:hint="eastAsia" w:ascii="宋体" w:hAnsi="宋体" w:cs="宋体"/>
          <w:color w:val="auto"/>
          <w:sz w:val="24"/>
          <w:szCs w:val="24"/>
        </w:rPr>
        <w:t>。</w:t>
      </w:r>
    </w:p>
    <w:p>
      <w:pPr>
        <w:spacing w:line="480" w:lineRule="exact"/>
        <w:ind w:firstLine="480" w:firstLineChars="200"/>
        <w:rPr>
          <w:color w:val="auto"/>
        </w:rPr>
      </w:pPr>
      <w:r>
        <w:rPr>
          <w:rFonts w:hint="eastAsia" w:ascii="宋体" w:hAnsi="宋体" w:cs="宋体"/>
          <w:color w:val="auto"/>
          <w:sz w:val="24"/>
          <w:szCs w:val="24"/>
        </w:rPr>
        <w:t>（十）</w:t>
      </w:r>
      <w:r>
        <w:rPr>
          <w:rFonts w:hint="eastAsia" w:ascii="宋体" w:hAnsi="宋体" w:cs="宋体"/>
          <w:color w:val="auto"/>
          <w:kern w:val="0"/>
          <w:sz w:val="24"/>
          <w:szCs w:val="24"/>
        </w:rPr>
        <w:t>磋商小组各成员独立对每个有效响应（通过资格性检查、符合性检查的供应商）的文件进行评价、打分，然后汇总每个供应商每项评分因素的得分，并根据综合评分情况按照评审得分由高到低顺序推荐成交候选3名供应商，并编写评审报告。</w:t>
      </w:r>
      <w:r>
        <w:rPr>
          <w:rFonts w:hint="eastAsia" w:ascii="宋体" w:hAnsi="宋体" w:cs="宋体"/>
          <w:color w:val="auto"/>
          <w:sz w:val="24"/>
          <w:szCs w:val="24"/>
        </w:rPr>
        <w:t>若得分相同的，按供应商服务部分得分由高到低顺序排列；供应商服务部分得分相同的，按供应商商务部分得分由高到低顺序排列；若以上都相同，由评审小组采取现场抽签形式由</w:t>
      </w:r>
      <w:r>
        <w:rPr>
          <w:rFonts w:hint="eastAsia" w:ascii="宋体" w:hAnsi="宋体" w:cs="宋体"/>
          <w:color w:val="auto"/>
          <w:sz w:val="24"/>
          <w:szCs w:val="24"/>
          <w:lang w:eastAsia="zh-CN"/>
        </w:rPr>
        <w:t>先后</w:t>
      </w:r>
      <w:r>
        <w:rPr>
          <w:rFonts w:hint="eastAsia" w:ascii="宋体" w:hAnsi="宋体" w:cs="宋体"/>
          <w:color w:val="auto"/>
          <w:sz w:val="24"/>
          <w:szCs w:val="24"/>
        </w:rPr>
        <w:t>顺序排列。</w:t>
      </w:r>
      <w:r>
        <w:rPr>
          <w:rFonts w:hint="eastAsia" w:ascii="宋体" w:hAnsi="宋体" w:cs="宋体"/>
          <w:color w:val="auto"/>
          <w:kern w:val="0"/>
          <w:sz w:val="24"/>
          <w:szCs w:val="24"/>
        </w:rPr>
        <w:t>采购人将从评审报告提出的成交候选供应商中，按照排序由高到低的原则确定成交供应商。</w:t>
      </w:r>
    </w:p>
    <w:p>
      <w:pPr>
        <w:pStyle w:val="4"/>
        <w:spacing w:before="0" w:after="0" w:line="360" w:lineRule="auto"/>
        <w:rPr>
          <w:rFonts w:ascii="宋体" w:hAnsi="宋体" w:cs="宋体"/>
          <w:color w:val="auto"/>
          <w:sz w:val="24"/>
          <w:szCs w:val="24"/>
        </w:rPr>
      </w:pPr>
      <w:bookmarkStart w:id="35" w:name="_Toc20315"/>
      <w:r>
        <w:rPr>
          <w:rFonts w:hint="eastAsia" w:ascii="宋体" w:hAnsi="宋体" w:cs="宋体"/>
          <w:color w:val="auto"/>
          <w:sz w:val="24"/>
          <w:szCs w:val="24"/>
        </w:rPr>
        <w:t>二、</w:t>
      </w:r>
      <w:bookmarkStart w:id="36" w:name="_Toc342913394"/>
      <w:bookmarkStart w:id="37" w:name="_Toc102227320"/>
      <w:r>
        <w:rPr>
          <w:rFonts w:hint="eastAsia" w:ascii="宋体" w:hAnsi="宋体" w:cs="宋体"/>
          <w:color w:val="auto"/>
          <w:sz w:val="24"/>
          <w:szCs w:val="24"/>
        </w:rPr>
        <w:t>评审标准</w:t>
      </w:r>
      <w:bookmarkEnd w:id="35"/>
    </w:p>
    <w:p>
      <w:pPr>
        <w:rPr>
          <w:rFonts w:ascii="宋体" w:hAnsi="宋体" w:cs="宋体"/>
          <w:color w:val="auto"/>
          <w:sz w:val="24"/>
          <w:szCs w:val="24"/>
        </w:rPr>
      </w:pPr>
      <w:r>
        <w:rPr>
          <w:rFonts w:hint="eastAsia" w:ascii="宋体" w:hAnsi="宋体" w:cs="宋体"/>
          <w:color w:val="auto"/>
          <w:sz w:val="24"/>
          <w:szCs w:val="24"/>
        </w:rPr>
        <w:t>（一）评审因素</w:t>
      </w:r>
    </w:p>
    <w:p>
      <w:pPr>
        <w:spacing w:line="400" w:lineRule="auto"/>
        <w:ind w:firstLine="480"/>
        <w:rPr>
          <w:rFonts w:ascii="宋体" w:hAnsi="宋体" w:cs="宋体"/>
          <w:color w:val="auto"/>
          <w:sz w:val="24"/>
        </w:rPr>
      </w:pPr>
      <w:r>
        <w:rPr>
          <w:rFonts w:hint="eastAsia" w:ascii="宋体" w:hAnsi="宋体" w:cs="宋体"/>
          <w:color w:val="auto"/>
          <w:sz w:val="24"/>
        </w:rPr>
        <w:t>咨询项目编制委托单位比选评分由参选单位工作业绩、咨询实施方案、咨询团队组成情况、工作费用报价及其他因素五部分组成。其分值组成如下：</w:t>
      </w:r>
    </w:p>
    <w:tbl>
      <w:tblPr>
        <w:tblStyle w:val="17"/>
        <w:tblW w:w="0" w:type="auto"/>
        <w:jc w:val="center"/>
        <w:tblLayout w:type="fixed"/>
        <w:tblCellMar>
          <w:top w:w="0" w:type="dxa"/>
          <w:left w:w="108" w:type="dxa"/>
          <w:bottom w:w="0" w:type="dxa"/>
          <w:right w:w="108" w:type="dxa"/>
        </w:tblCellMar>
      </w:tblPr>
      <w:tblGrid>
        <w:gridCol w:w="709"/>
        <w:gridCol w:w="1623"/>
        <w:gridCol w:w="864"/>
        <w:gridCol w:w="5586"/>
      </w:tblGrid>
      <w:tr>
        <w:tblPrEx>
          <w:tblCellMar>
            <w:top w:w="0" w:type="dxa"/>
            <w:left w:w="108" w:type="dxa"/>
            <w:bottom w:w="0" w:type="dxa"/>
            <w:right w:w="108" w:type="dxa"/>
          </w:tblCellMar>
        </w:tblPrEx>
        <w:trPr>
          <w:trHeight w:val="591"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color w:val="auto"/>
                <w:kern w:val="0"/>
                <w:sz w:val="22"/>
                <w:szCs w:val="18"/>
              </w:rPr>
            </w:pPr>
            <w:r>
              <w:rPr>
                <w:rFonts w:hint="eastAsia" w:ascii="宋体" w:hAnsi="宋体" w:cs="宋体"/>
                <w:b/>
                <w:color w:val="auto"/>
                <w:kern w:val="0"/>
                <w:sz w:val="22"/>
                <w:szCs w:val="18"/>
              </w:rPr>
              <w:t>序号</w:t>
            </w:r>
          </w:p>
        </w:tc>
        <w:tc>
          <w:tcPr>
            <w:tcW w:w="16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color w:val="auto"/>
                <w:kern w:val="0"/>
                <w:sz w:val="22"/>
                <w:szCs w:val="18"/>
              </w:rPr>
            </w:pPr>
            <w:r>
              <w:rPr>
                <w:rFonts w:hint="eastAsia" w:ascii="宋体" w:hAnsi="宋体" w:cs="宋体"/>
                <w:b/>
                <w:color w:val="auto"/>
                <w:kern w:val="0"/>
                <w:sz w:val="22"/>
                <w:szCs w:val="18"/>
              </w:rPr>
              <w:t>评分内容</w:t>
            </w:r>
          </w:p>
        </w:tc>
        <w:tc>
          <w:tcPr>
            <w:tcW w:w="864"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color w:val="auto"/>
                <w:kern w:val="0"/>
                <w:sz w:val="22"/>
                <w:szCs w:val="18"/>
              </w:rPr>
            </w:pPr>
            <w:r>
              <w:rPr>
                <w:rFonts w:hint="eastAsia" w:ascii="宋体" w:hAnsi="宋体" w:cs="宋体"/>
                <w:b/>
                <w:color w:val="auto"/>
                <w:kern w:val="0"/>
                <w:sz w:val="22"/>
                <w:szCs w:val="18"/>
              </w:rPr>
              <w:t>总分</w:t>
            </w:r>
          </w:p>
        </w:tc>
        <w:tc>
          <w:tcPr>
            <w:tcW w:w="5586"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color w:val="auto"/>
                <w:kern w:val="0"/>
                <w:sz w:val="22"/>
                <w:szCs w:val="18"/>
              </w:rPr>
            </w:pPr>
            <w:r>
              <w:rPr>
                <w:rFonts w:hint="eastAsia" w:ascii="宋体" w:hAnsi="宋体" w:cs="宋体"/>
                <w:b/>
                <w:color w:val="auto"/>
                <w:kern w:val="0"/>
                <w:sz w:val="22"/>
                <w:szCs w:val="18"/>
              </w:rPr>
              <w:t>评分标准</w:t>
            </w:r>
          </w:p>
        </w:tc>
      </w:tr>
      <w:tr>
        <w:tblPrEx>
          <w:tblCellMar>
            <w:top w:w="0" w:type="dxa"/>
            <w:left w:w="108" w:type="dxa"/>
            <w:bottom w:w="0" w:type="dxa"/>
            <w:right w:w="108" w:type="dxa"/>
          </w:tblCellMar>
        </w:tblPrEx>
        <w:trPr>
          <w:trHeight w:val="565" w:hRule="atLeast"/>
          <w:jc w:val="center"/>
        </w:trPr>
        <w:tc>
          <w:tcPr>
            <w:tcW w:w="709" w:type="dxa"/>
            <w:tcBorders>
              <w:top w:val="single" w:color="auto" w:sz="4" w:space="0"/>
              <w:left w:val="single" w:color="auto" w:sz="4" w:space="0"/>
              <w:right w:val="single" w:color="auto" w:sz="4" w:space="0"/>
            </w:tcBorders>
            <w:noWrap/>
            <w:vAlign w:val="center"/>
          </w:tcPr>
          <w:p>
            <w:pPr>
              <w:widowControl/>
              <w:jc w:val="center"/>
              <w:rPr>
                <w:rFonts w:ascii="宋体" w:hAnsi="宋体" w:cs="宋体"/>
                <w:color w:val="auto"/>
                <w:kern w:val="0"/>
                <w:sz w:val="22"/>
                <w:szCs w:val="18"/>
              </w:rPr>
            </w:pPr>
            <w:r>
              <w:rPr>
                <w:rFonts w:hint="eastAsia" w:ascii="宋体" w:hAnsi="宋体" w:cs="宋体"/>
                <w:color w:val="auto"/>
                <w:kern w:val="0"/>
                <w:sz w:val="22"/>
                <w:szCs w:val="18"/>
              </w:rPr>
              <w:t>1</w:t>
            </w:r>
          </w:p>
        </w:tc>
        <w:tc>
          <w:tcPr>
            <w:tcW w:w="1623" w:type="dxa"/>
            <w:tcBorders>
              <w:top w:val="nil"/>
              <w:left w:val="single" w:color="auto" w:sz="4" w:space="0"/>
              <w:bottom w:val="nil"/>
              <w:right w:val="single" w:color="auto" w:sz="4" w:space="0"/>
            </w:tcBorders>
            <w:noWrap/>
            <w:vAlign w:val="center"/>
          </w:tcPr>
          <w:p>
            <w:pPr>
              <w:spacing w:line="240" w:lineRule="atLeast"/>
              <w:ind w:firstLine="28"/>
              <w:rPr>
                <w:rFonts w:ascii="宋体" w:hAnsi="宋体" w:cs="宋体"/>
                <w:color w:val="auto"/>
                <w:kern w:val="0"/>
                <w:sz w:val="22"/>
                <w:szCs w:val="18"/>
              </w:rPr>
            </w:pPr>
            <w:r>
              <w:rPr>
                <w:rFonts w:hint="eastAsia" w:ascii="宋体" w:hAnsi="宋体" w:cs="宋体"/>
                <w:color w:val="auto"/>
                <w:kern w:val="0"/>
                <w:sz w:val="22"/>
                <w:szCs w:val="18"/>
              </w:rPr>
              <w:t>投标报价</w:t>
            </w:r>
          </w:p>
          <w:p>
            <w:pPr>
              <w:widowControl/>
              <w:rPr>
                <w:rFonts w:ascii="宋体" w:hAnsi="宋体" w:cs="宋体"/>
                <w:dstrike/>
                <w:color w:val="auto"/>
                <w:kern w:val="0"/>
                <w:sz w:val="22"/>
                <w:szCs w:val="18"/>
              </w:rPr>
            </w:pPr>
            <w:r>
              <w:rPr>
                <w:rFonts w:hint="eastAsia" w:ascii="宋体" w:hAnsi="宋体" w:cs="宋体"/>
                <w:color w:val="auto"/>
                <w:kern w:val="0"/>
                <w:sz w:val="22"/>
                <w:szCs w:val="18"/>
              </w:rPr>
              <w:t>（20%）</w:t>
            </w:r>
          </w:p>
        </w:tc>
        <w:tc>
          <w:tcPr>
            <w:tcW w:w="864" w:type="dxa"/>
            <w:tcBorders>
              <w:top w:val="nil"/>
              <w:left w:val="single" w:color="auto" w:sz="4" w:space="0"/>
              <w:bottom w:val="nil"/>
              <w:right w:val="single" w:color="auto" w:sz="4" w:space="0"/>
            </w:tcBorders>
            <w:noWrap/>
            <w:vAlign w:val="center"/>
          </w:tcPr>
          <w:p>
            <w:pPr>
              <w:widowControl/>
              <w:jc w:val="center"/>
              <w:rPr>
                <w:rFonts w:ascii="宋体" w:hAnsi="宋体" w:cs="宋体"/>
                <w:color w:val="auto"/>
                <w:kern w:val="0"/>
                <w:sz w:val="22"/>
                <w:szCs w:val="18"/>
              </w:rPr>
            </w:pPr>
            <w:r>
              <w:rPr>
                <w:rFonts w:hint="eastAsia" w:ascii="宋体" w:hAnsi="宋体" w:cs="宋体"/>
                <w:color w:val="auto"/>
                <w:kern w:val="0"/>
                <w:sz w:val="22"/>
                <w:szCs w:val="18"/>
              </w:rPr>
              <w:t>20</w:t>
            </w:r>
          </w:p>
        </w:tc>
        <w:tc>
          <w:tcPr>
            <w:tcW w:w="5586" w:type="dxa"/>
            <w:tcBorders>
              <w:top w:val="nil"/>
              <w:left w:val="nil"/>
              <w:bottom w:val="single" w:color="auto" w:sz="4" w:space="0"/>
              <w:right w:val="single" w:color="auto" w:sz="4" w:space="0"/>
            </w:tcBorders>
            <w:noWrap/>
            <w:vAlign w:val="center"/>
          </w:tcPr>
          <w:p>
            <w:pPr>
              <w:spacing w:line="240" w:lineRule="atLeast"/>
              <w:ind w:firstLine="28"/>
              <w:rPr>
                <w:rFonts w:ascii="宋体" w:hAnsi="宋体" w:cs="宋体"/>
                <w:color w:val="auto"/>
                <w:kern w:val="0"/>
                <w:sz w:val="22"/>
                <w:szCs w:val="18"/>
              </w:rPr>
            </w:pPr>
            <w:r>
              <w:rPr>
                <w:rFonts w:hint="eastAsia" w:ascii="宋体" w:hAnsi="宋体" w:cs="宋体"/>
                <w:color w:val="auto"/>
                <w:kern w:val="0"/>
                <w:sz w:val="22"/>
                <w:szCs w:val="18"/>
              </w:rPr>
              <w:t>有效的投标报价中的最低价为评标基准价，按照下列公式计算每个投标人的投标价格得分。</w:t>
            </w:r>
          </w:p>
          <w:p>
            <w:pPr>
              <w:spacing w:line="240" w:lineRule="atLeast"/>
              <w:ind w:firstLine="28"/>
              <w:rPr>
                <w:color w:val="auto"/>
              </w:rPr>
            </w:pPr>
            <w:r>
              <w:rPr>
                <w:rFonts w:hint="eastAsia" w:ascii="宋体" w:hAnsi="宋体" w:cs="宋体"/>
                <w:color w:val="auto"/>
                <w:kern w:val="0"/>
                <w:sz w:val="22"/>
                <w:szCs w:val="18"/>
              </w:rPr>
              <w:t>投标报价得分＝（评标基准价/投标报价）×价格权重×100。</w:t>
            </w:r>
          </w:p>
        </w:tc>
      </w:tr>
      <w:tr>
        <w:tblPrEx>
          <w:tblCellMar>
            <w:top w:w="0" w:type="dxa"/>
            <w:left w:w="108" w:type="dxa"/>
            <w:bottom w:w="0" w:type="dxa"/>
            <w:right w:w="108" w:type="dxa"/>
          </w:tblCellMar>
        </w:tblPrEx>
        <w:trPr>
          <w:trHeight w:val="1051" w:hRule="atLeast"/>
          <w:jc w:val="center"/>
        </w:trPr>
        <w:tc>
          <w:tcPr>
            <w:tcW w:w="709" w:type="dxa"/>
            <w:tcBorders>
              <w:top w:val="single" w:color="auto" w:sz="4" w:space="0"/>
              <w:left w:val="single" w:color="auto" w:sz="4" w:space="0"/>
              <w:right w:val="single" w:color="auto" w:sz="4" w:space="0"/>
            </w:tcBorders>
            <w:noWrap/>
            <w:vAlign w:val="center"/>
          </w:tcPr>
          <w:p>
            <w:pPr>
              <w:widowControl/>
              <w:jc w:val="center"/>
              <w:rPr>
                <w:rFonts w:ascii="宋体" w:hAnsi="宋体" w:cs="宋体"/>
                <w:color w:val="auto"/>
                <w:kern w:val="0"/>
                <w:sz w:val="22"/>
                <w:szCs w:val="18"/>
              </w:rPr>
            </w:pPr>
            <w:r>
              <w:rPr>
                <w:rFonts w:hint="eastAsia" w:ascii="宋体" w:hAnsi="宋体" w:cs="宋体"/>
                <w:color w:val="auto"/>
                <w:kern w:val="0"/>
                <w:sz w:val="22"/>
                <w:szCs w:val="18"/>
              </w:rPr>
              <w:t>2</w:t>
            </w:r>
          </w:p>
        </w:tc>
        <w:tc>
          <w:tcPr>
            <w:tcW w:w="1623" w:type="dxa"/>
            <w:tcBorders>
              <w:top w:val="single" w:color="auto" w:sz="4" w:space="0"/>
              <w:left w:val="single" w:color="auto" w:sz="4" w:space="0"/>
              <w:bottom w:val="nil"/>
              <w:right w:val="single" w:color="auto" w:sz="4" w:space="0"/>
            </w:tcBorders>
            <w:noWrap/>
            <w:vAlign w:val="center"/>
          </w:tcPr>
          <w:p>
            <w:pPr>
              <w:widowControl/>
              <w:rPr>
                <w:rFonts w:ascii="宋体" w:hAnsi="宋体" w:cs="宋体"/>
                <w:color w:val="auto"/>
                <w:kern w:val="0"/>
                <w:sz w:val="22"/>
                <w:szCs w:val="18"/>
              </w:rPr>
            </w:pPr>
            <w:r>
              <w:rPr>
                <w:rFonts w:hint="eastAsia" w:ascii="宋体" w:hAnsi="宋体" w:cs="宋体"/>
                <w:color w:val="auto"/>
                <w:kern w:val="0"/>
                <w:sz w:val="22"/>
                <w:szCs w:val="18"/>
              </w:rPr>
              <w:t>工作业绩</w:t>
            </w:r>
          </w:p>
          <w:p>
            <w:pPr>
              <w:pStyle w:val="2"/>
              <w:ind w:firstLine="110" w:firstLineChars="50"/>
              <w:rPr>
                <w:color w:val="auto"/>
              </w:rPr>
            </w:pPr>
            <w:r>
              <w:rPr>
                <w:rFonts w:hint="eastAsia" w:ascii="宋体" w:hAnsi="宋体" w:cs="宋体"/>
                <w:color w:val="auto"/>
                <w:kern w:val="0"/>
                <w:sz w:val="22"/>
                <w:szCs w:val="18"/>
              </w:rPr>
              <w:t>（30%）</w:t>
            </w:r>
          </w:p>
        </w:tc>
        <w:tc>
          <w:tcPr>
            <w:tcW w:w="864" w:type="dxa"/>
            <w:tcBorders>
              <w:top w:val="single" w:color="auto" w:sz="4" w:space="0"/>
              <w:left w:val="single" w:color="auto" w:sz="4" w:space="0"/>
              <w:bottom w:val="nil"/>
              <w:right w:val="single" w:color="auto" w:sz="4" w:space="0"/>
            </w:tcBorders>
            <w:noWrap/>
            <w:vAlign w:val="center"/>
          </w:tcPr>
          <w:p>
            <w:pPr>
              <w:widowControl/>
              <w:jc w:val="center"/>
              <w:rPr>
                <w:rFonts w:ascii="宋体" w:hAnsi="宋体" w:cs="宋体"/>
                <w:color w:val="auto"/>
                <w:kern w:val="0"/>
                <w:sz w:val="22"/>
                <w:szCs w:val="18"/>
              </w:rPr>
            </w:pPr>
            <w:r>
              <w:rPr>
                <w:rFonts w:hint="eastAsia" w:ascii="宋体" w:hAnsi="宋体" w:cs="宋体"/>
                <w:color w:val="auto"/>
                <w:kern w:val="0"/>
                <w:sz w:val="22"/>
                <w:szCs w:val="18"/>
              </w:rPr>
              <w:t>30</w:t>
            </w:r>
          </w:p>
        </w:tc>
        <w:tc>
          <w:tcPr>
            <w:tcW w:w="5586" w:type="dxa"/>
            <w:tcBorders>
              <w:top w:val="nil"/>
              <w:left w:val="nil"/>
              <w:bottom w:val="single" w:color="auto" w:sz="4" w:space="0"/>
              <w:right w:val="single" w:color="auto" w:sz="4" w:space="0"/>
            </w:tcBorders>
            <w:noWrap/>
            <w:vAlign w:val="center"/>
          </w:tcPr>
          <w:p>
            <w:pPr>
              <w:widowControl/>
              <w:rPr>
                <w:rFonts w:hint="eastAsia" w:ascii="宋体" w:hAnsi="宋体" w:eastAsia="宋体" w:cs="宋体"/>
                <w:color w:val="auto"/>
                <w:kern w:val="0"/>
                <w:sz w:val="22"/>
                <w:szCs w:val="18"/>
              </w:rPr>
            </w:pPr>
            <w:r>
              <w:rPr>
                <w:rFonts w:hint="eastAsia" w:ascii="宋体" w:hAnsi="宋体" w:cs="宋体"/>
                <w:color w:val="auto"/>
                <w:kern w:val="0"/>
                <w:sz w:val="22"/>
                <w:szCs w:val="18"/>
              </w:rPr>
              <w:t>有市内</w:t>
            </w:r>
            <w:r>
              <w:rPr>
                <w:rFonts w:hint="eastAsia" w:ascii="宋体" w:hAnsi="宋体" w:eastAsia="宋体" w:cs="宋体"/>
                <w:color w:val="auto"/>
                <w:kern w:val="0"/>
                <w:sz w:val="22"/>
                <w:szCs w:val="18"/>
              </w:rPr>
              <w:t>外企事业单位或政府规划项目咨询工作业绩；</w:t>
            </w:r>
          </w:p>
          <w:p>
            <w:pPr>
              <w:widowControl/>
              <w:rPr>
                <w:rFonts w:ascii="宋体" w:hAnsi="宋体" w:cs="宋体"/>
                <w:color w:val="auto"/>
                <w:kern w:val="0"/>
                <w:sz w:val="22"/>
                <w:szCs w:val="18"/>
              </w:rPr>
            </w:pPr>
            <w:r>
              <w:rPr>
                <w:rFonts w:hint="eastAsia" w:ascii="宋体" w:hAnsi="宋体" w:eastAsia="宋体" w:cs="宋体"/>
                <w:color w:val="auto"/>
                <w:kern w:val="0"/>
                <w:sz w:val="22"/>
                <w:szCs w:val="18"/>
              </w:rPr>
              <w:t>每一个规划项目业绩2分，最高</w:t>
            </w:r>
            <w:r>
              <w:rPr>
                <w:rFonts w:hint="eastAsia" w:ascii="宋体" w:hAnsi="宋体" w:eastAsia="宋体" w:cs="宋体"/>
                <w:color w:val="auto"/>
                <w:kern w:val="0"/>
                <w:sz w:val="22"/>
                <w:szCs w:val="18"/>
                <w:lang w:val="en-US" w:eastAsia="zh-CN"/>
              </w:rPr>
              <w:t>30</w:t>
            </w:r>
            <w:r>
              <w:rPr>
                <w:rFonts w:hint="eastAsia" w:ascii="宋体" w:hAnsi="宋体" w:eastAsia="宋体" w:cs="宋体"/>
                <w:color w:val="auto"/>
                <w:kern w:val="0"/>
                <w:sz w:val="22"/>
                <w:szCs w:val="18"/>
              </w:rPr>
              <w:t>分。</w:t>
            </w:r>
          </w:p>
        </w:tc>
      </w:tr>
      <w:tr>
        <w:tblPrEx>
          <w:tblCellMar>
            <w:top w:w="0" w:type="dxa"/>
            <w:left w:w="108" w:type="dxa"/>
            <w:bottom w:w="0" w:type="dxa"/>
            <w:right w:w="108" w:type="dxa"/>
          </w:tblCellMar>
        </w:tblPrEx>
        <w:trPr>
          <w:trHeight w:val="721"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18"/>
              </w:rPr>
            </w:pPr>
            <w:r>
              <w:rPr>
                <w:rFonts w:hint="eastAsia" w:ascii="宋体" w:hAnsi="宋体" w:cs="宋体"/>
                <w:color w:val="auto"/>
                <w:kern w:val="0"/>
                <w:sz w:val="22"/>
                <w:szCs w:val="18"/>
              </w:rPr>
              <w:t>3</w:t>
            </w:r>
          </w:p>
        </w:tc>
        <w:tc>
          <w:tcPr>
            <w:tcW w:w="1623" w:type="dxa"/>
            <w:tcBorders>
              <w:top w:val="single" w:color="auto" w:sz="4" w:space="0"/>
              <w:left w:val="single" w:color="auto" w:sz="4" w:space="0"/>
              <w:bottom w:val="nil"/>
              <w:right w:val="single" w:color="auto" w:sz="4" w:space="0"/>
            </w:tcBorders>
            <w:noWrap/>
            <w:vAlign w:val="center"/>
          </w:tcPr>
          <w:p>
            <w:pPr>
              <w:widowControl/>
              <w:rPr>
                <w:rFonts w:ascii="宋体" w:hAnsi="宋体" w:cs="宋体"/>
                <w:color w:val="auto"/>
                <w:kern w:val="0"/>
                <w:sz w:val="22"/>
                <w:szCs w:val="18"/>
              </w:rPr>
            </w:pPr>
            <w:r>
              <w:rPr>
                <w:rFonts w:hint="eastAsia" w:ascii="宋体" w:hAnsi="宋体" w:cs="宋体"/>
                <w:color w:val="auto"/>
                <w:kern w:val="0"/>
                <w:sz w:val="22"/>
                <w:szCs w:val="18"/>
              </w:rPr>
              <w:t>咨询实施方案</w:t>
            </w:r>
          </w:p>
          <w:p>
            <w:pPr>
              <w:pStyle w:val="2"/>
              <w:rPr>
                <w:color w:val="auto"/>
              </w:rPr>
            </w:pPr>
            <w:r>
              <w:rPr>
                <w:rFonts w:hint="eastAsia" w:ascii="宋体" w:hAnsi="宋体" w:cs="宋体"/>
                <w:color w:val="auto"/>
                <w:kern w:val="0"/>
                <w:sz w:val="22"/>
                <w:szCs w:val="18"/>
              </w:rPr>
              <w:t>（20%）</w:t>
            </w:r>
          </w:p>
        </w:tc>
        <w:tc>
          <w:tcPr>
            <w:tcW w:w="864" w:type="dxa"/>
            <w:tcBorders>
              <w:top w:val="single" w:color="auto" w:sz="4" w:space="0"/>
              <w:left w:val="single" w:color="auto" w:sz="4" w:space="0"/>
              <w:bottom w:val="nil"/>
              <w:right w:val="single" w:color="auto" w:sz="4" w:space="0"/>
            </w:tcBorders>
            <w:noWrap/>
            <w:vAlign w:val="center"/>
          </w:tcPr>
          <w:p>
            <w:pPr>
              <w:widowControl/>
              <w:jc w:val="center"/>
              <w:rPr>
                <w:rFonts w:ascii="宋体" w:hAnsi="宋体" w:cs="宋体"/>
                <w:color w:val="auto"/>
                <w:kern w:val="0"/>
                <w:sz w:val="22"/>
                <w:szCs w:val="18"/>
              </w:rPr>
            </w:pPr>
            <w:r>
              <w:rPr>
                <w:rFonts w:hint="eastAsia" w:ascii="宋体" w:hAnsi="宋体" w:cs="宋体"/>
                <w:color w:val="auto"/>
                <w:kern w:val="0"/>
                <w:sz w:val="22"/>
                <w:szCs w:val="18"/>
              </w:rPr>
              <w:t>20</w:t>
            </w:r>
          </w:p>
        </w:tc>
        <w:tc>
          <w:tcPr>
            <w:tcW w:w="5586" w:type="dxa"/>
            <w:tcBorders>
              <w:top w:val="nil"/>
              <w:left w:val="nil"/>
              <w:bottom w:val="single" w:color="auto" w:sz="4" w:space="0"/>
              <w:right w:val="single" w:color="auto" w:sz="4" w:space="0"/>
            </w:tcBorders>
            <w:noWrap/>
            <w:vAlign w:val="center"/>
          </w:tcPr>
          <w:p>
            <w:pPr>
              <w:widowControl/>
              <w:rPr>
                <w:rFonts w:ascii="宋体" w:hAnsi="宋体" w:cs="宋体"/>
                <w:color w:val="auto"/>
                <w:kern w:val="0"/>
                <w:sz w:val="22"/>
                <w:szCs w:val="18"/>
              </w:rPr>
            </w:pPr>
            <w:r>
              <w:rPr>
                <w:rFonts w:hint="eastAsia" w:ascii="宋体" w:hAnsi="宋体" w:cs="宋体"/>
                <w:color w:val="auto"/>
                <w:kern w:val="0"/>
                <w:sz w:val="22"/>
                <w:szCs w:val="18"/>
              </w:rPr>
              <w:t>1、咨询总体目标明确，优得4分，良得2分，中得1分，差得0分。</w:t>
            </w:r>
          </w:p>
          <w:p>
            <w:pPr>
              <w:widowControl/>
              <w:rPr>
                <w:rFonts w:ascii="宋体" w:hAnsi="宋体" w:cs="宋体"/>
                <w:color w:val="auto"/>
                <w:kern w:val="0"/>
                <w:sz w:val="22"/>
                <w:szCs w:val="18"/>
              </w:rPr>
            </w:pPr>
            <w:r>
              <w:rPr>
                <w:rFonts w:hint="eastAsia" w:ascii="宋体" w:hAnsi="宋体" w:cs="宋体"/>
                <w:color w:val="auto"/>
                <w:kern w:val="0"/>
                <w:sz w:val="22"/>
                <w:szCs w:val="18"/>
              </w:rPr>
              <w:t>2、标书编写规范，符合邀请书要求，优得4分，良得2分，中得1分，差得0分。</w:t>
            </w:r>
            <w:r>
              <w:rPr>
                <w:rFonts w:hint="eastAsia" w:ascii="宋体" w:hAnsi="宋体" w:cs="宋体"/>
                <w:color w:val="auto"/>
                <w:kern w:val="0"/>
                <w:sz w:val="22"/>
                <w:szCs w:val="18"/>
              </w:rPr>
              <w:br w:type="textWrapping"/>
            </w:r>
            <w:r>
              <w:rPr>
                <w:rFonts w:hint="eastAsia" w:ascii="宋体" w:hAnsi="宋体" w:cs="宋体"/>
                <w:color w:val="auto"/>
                <w:kern w:val="0"/>
                <w:sz w:val="22"/>
                <w:szCs w:val="18"/>
              </w:rPr>
              <w:t>3、咨询工作计划安排合理，咨询服务计划满足要求，优得3分，良得2分，中得1分，差得0分。</w:t>
            </w:r>
            <w:r>
              <w:rPr>
                <w:rFonts w:hint="eastAsia" w:ascii="宋体" w:hAnsi="宋体" w:cs="宋体"/>
                <w:color w:val="auto"/>
                <w:kern w:val="0"/>
                <w:sz w:val="22"/>
                <w:szCs w:val="18"/>
              </w:rPr>
              <w:br w:type="textWrapping"/>
            </w:r>
            <w:r>
              <w:rPr>
                <w:rFonts w:hint="eastAsia" w:ascii="宋体" w:hAnsi="宋体" w:cs="宋体"/>
                <w:color w:val="auto"/>
                <w:kern w:val="0"/>
                <w:sz w:val="22"/>
                <w:szCs w:val="18"/>
              </w:rPr>
              <w:t>4、咨询的重点和难点完全能够针对本项目特点，优得3分，良得2分，中得1分，差得0分。</w:t>
            </w:r>
          </w:p>
          <w:p>
            <w:pPr>
              <w:widowControl/>
              <w:rPr>
                <w:rFonts w:ascii="宋体" w:hAnsi="宋体" w:cs="宋体"/>
                <w:color w:val="auto"/>
                <w:kern w:val="0"/>
                <w:sz w:val="22"/>
                <w:szCs w:val="18"/>
              </w:rPr>
            </w:pPr>
            <w:r>
              <w:rPr>
                <w:rFonts w:hint="eastAsia" w:ascii="宋体" w:hAnsi="宋体" w:cs="宋体"/>
                <w:color w:val="auto"/>
                <w:kern w:val="0"/>
                <w:sz w:val="22"/>
                <w:szCs w:val="18"/>
              </w:rPr>
              <w:t>5、咨询过程描述清晰，优得3分，优得3分，良得2分，中得1分，差得0分。</w:t>
            </w:r>
          </w:p>
          <w:p>
            <w:pPr>
              <w:widowControl/>
              <w:rPr>
                <w:rFonts w:ascii="宋体" w:hAnsi="宋体" w:cs="宋体"/>
                <w:color w:val="auto"/>
                <w:kern w:val="0"/>
                <w:sz w:val="22"/>
                <w:szCs w:val="18"/>
              </w:rPr>
            </w:pPr>
            <w:r>
              <w:rPr>
                <w:rFonts w:hint="eastAsia" w:ascii="宋体" w:hAnsi="宋体" w:cs="宋体"/>
                <w:color w:val="auto"/>
                <w:kern w:val="0"/>
                <w:sz w:val="22"/>
                <w:szCs w:val="18"/>
              </w:rPr>
              <w:t>6、咨询方案中预计提交的成果全面并满足要求，优得3分，良得2分，中得1分，差得0分。</w:t>
            </w:r>
          </w:p>
        </w:tc>
      </w:tr>
      <w:tr>
        <w:tblPrEx>
          <w:tblCellMar>
            <w:top w:w="0" w:type="dxa"/>
            <w:left w:w="108" w:type="dxa"/>
            <w:bottom w:w="0" w:type="dxa"/>
            <w:right w:w="108" w:type="dxa"/>
          </w:tblCellMar>
        </w:tblPrEx>
        <w:trPr>
          <w:trHeight w:val="721"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18"/>
              </w:rPr>
            </w:pPr>
            <w:r>
              <w:rPr>
                <w:rFonts w:hint="eastAsia" w:ascii="宋体" w:hAnsi="宋体" w:cs="宋体"/>
                <w:color w:val="auto"/>
                <w:kern w:val="0"/>
                <w:sz w:val="22"/>
                <w:szCs w:val="18"/>
              </w:rPr>
              <w:t>4</w:t>
            </w:r>
          </w:p>
        </w:tc>
        <w:tc>
          <w:tcPr>
            <w:tcW w:w="1623"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color w:val="auto"/>
                <w:kern w:val="0"/>
                <w:sz w:val="22"/>
                <w:szCs w:val="18"/>
              </w:rPr>
            </w:pPr>
            <w:r>
              <w:rPr>
                <w:rFonts w:hint="eastAsia" w:ascii="宋体" w:hAnsi="宋体" w:cs="宋体"/>
                <w:color w:val="auto"/>
                <w:kern w:val="0"/>
                <w:sz w:val="22"/>
                <w:szCs w:val="18"/>
              </w:rPr>
              <w:t>咨询团队组成情况（20%）</w:t>
            </w:r>
          </w:p>
        </w:tc>
        <w:tc>
          <w:tcPr>
            <w:tcW w:w="86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2"/>
                <w:szCs w:val="18"/>
              </w:rPr>
            </w:pPr>
            <w:r>
              <w:rPr>
                <w:rFonts w:hint="eastAsia" w:ascii="宋体" w:hAnsi="宋体" w:cs="宋体"/>
                <w:color w:val="auto"/>
                <w:kern w:val="0"/>
                <w:sz w:val="22"/>
                <w:szCs w:val="18"/>
              </w:rPr>
              <w:t>20</w:t>
            </w:r>
          </w:p>
        </w:tc>
        <w:tc>
          <w:tcPr>
            <w:tcW w:w="5586"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color w:val="auto"/>
                <w:kern w:val="0"/>
                <w:sz w:val="22"/>
                <w:szCs w:val="18"/>
              </w:rPr>
            </w:pPr>
            <w:r>
              <w:rPr>
                <w:rFonts w:hint="eastAsia" w:ascii="宋体" w:hAnsi="宋体" w:cs="宋体"/>
                <w:color w:val="auto"/>
                <w:kern w:val="0"/>
                <w:sz w:val="22"/>
                <w:szCs w:val="18"/>
              </w:rPr>
              <w:t>1、咨询人员拥有较高的学习经历及教育背景；优得7分，良得5分，中得3分，差得0分。</w:t>
            </w:r>
            <w:r>
              <w:rPr>
                <w:rFonts w:hint="eastAsia" w:ascii="宋体" w:hAnsi="宋体" w:cs="宋体"/>
                <w:color w:val="auto"/>
                <w:kern w:val="0"/>
                <w:sz w:val="22"/>
                <w:szCs w:val="18"/>
              </w:rPr>
              <w:br w:type="textWrapping"/>
            </w:r>
            <w:r>
              <w:rPr>
                <w:rFonts w:hint="eastAsia" w:ascii="宋体" w:hAnsi="宋体" w:cs="宋体"/>
                <w:color w:val="auto"/>
                <w:kern w:val="0"/>
                <w:sz w:val="22"/>
                <w:szCs w:val="18"/>
              </w:rPr>
              <w:t>2、咨询人员有丰富的大型公司产业规划咨询服务经历；优得7分，良得5分，中得3分，差得0分。</w:t>
            </w:r>
            <w:r>
              <w:rPr>
                <w:rFonts w:hint="eastAsia" w:ascii="宋体" w:hAnsi="宋体" w:cs="宋体"/>
                <w:color w:val="auto"/>
                <w:kern w:val="0"/>
                <w:sz w:val="22"/>
                <w:szCs w:val="18"/>
              </w:rPr>
              <w:br w:type="textWrapping"/>
            </w:r>
            <w:r>
              <w:rPr>
                <w:rFonts w:hint="eastAsia" w:ascii="宋体" w:hAnsi="宋体" w:cs="宋体"/>
                <w:color w:val="auto"/>
                <w:kern w:val="0"/>
                <w:sz w:val="22"/>
                <w:szCs w:val="18"/>
              </w:rPr>
              <w:t>3、咨询人员有丰富的相关行业咨询服务经历。优得6分，良得4分，中得2分，差得0分。</w:t>
            </w:r>
            <w:r>
              <w:rPr>
                <w:rFonts w:hint="eastAsia" w:ascii="宋体" w:hAnsi="宋体" w:cs="宋体"/>
                <w:color w:val="auto"/>
                <w:kern w:val="0"/>
                <w:sz w:val="22"/>
                <w:szCs w:val="18"/>
              </w:rPr>
              <w:br w:type="textWrapping"/>
            </w:r>
          </w:p>
        </w:tc>
      </w:tr>
      <w:tr>
        <w:tblPrEx>
          <w:tblCellMar>
            <w:top w:w="0" w:type="dxa"/>
            <w:left w:w="108" w:type="dxa"/>
            <w:bottom w:w="0" w:type="dxa"/>
            <w:right w:w="108" w:type="dxa"/>
          </w:tblCellMar>
        </w:tblPrEx>
        <w:trPr>
          <w:trHeight w:val="721" w:hRule="atLeast"/>
          <w:jc w:val="center"/>
        </w:trPr>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color w:val="auto"/>
                <w:kern w:val="0"/>
                <w:sz w:val="22"/>
                <w:szCs w:val="18"/>
              </w:rPr>
            </w:pPr>
            <w:r>
              <w:rPr>
                <w:rFonts w:hint="eastAsia" w:ascii="宋体" w:hAnsi="宋体" w:cs="宋体"/>
                <w:color w:val="auto"/>
                <w:kern w:val="0"/>
                <w:sz w:val="22"/>
                <w:szCs w:val="18"/>
              </w:rPr>
              <w:t>5</w:t>
            </w:r>
          </w:p>
        </w:tc>
        <w:tc>
          <w:tcPr>
            <w:tcW w:w="1623"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color w:val="auto"/>
                <w:kern w:val="0"/>
                <w:sz w:val="22"/>
                <w:szCs w:val="18"/>
              </w:rPr>
            </w:pPr>
            <w:r>
              <w:rPr>
                <w:rFonts w:hint="eastAsia" w:ascii="宋体" w:hAnsi="宋体" w:cs="宋体"/>
                <w:color w:val="auto"/>
                <w:kern w:val="0"/>
                <w:sz w:val="22"/>
                <w:szCs w:val="18"/>
              </w:rPr>
              <w:t>其他因素（10%）</w:t>
            </w:r>
          </w:p>
        </w:tc>
        <w:tc>
          <w:tcPr>
            <w:tcW w:w="864"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color w:val="auto"/>
                <w:kern w:val="0"/>
                <w:sz w:val="22"/>
                <w:szCs w:val="18"/>
              </w:rPr>
            </w:pPr>
            <w:r>
              <w:rPr>
                <w:rFonts w:hint="eastAsia" w:ascii="宋体" w:hAnsi="宋体" w:cs="宋体"/>
                <w:color w:val="auto"/>
                <w:kern w:val="0"/>
                <w:sz w:val="22"/>
                <w:szCs w:val="18"/>
              </w:rPr>
              <w:t>10</w:t>
            </w:r>
          </w:p>
        </w:tc>
        <w:tc>
          <w:tcPr>
            <w:tcW w:w="5586" w:type="dxa"/>
            <w:tcBorders>
              <w:top w:val="single" w:color="auto" w:sz="4" w:space="0"/>
              <w:left w:val="single" w:color="auto" w:sz="4" w:space="0"/>
              <w:bottom w:val="single" w:color="auto" w:sz="4" w:space="0"/>
              <w:right w:val="single" w:color="auto" w:sz="4" w:space="0"/>
            </w:tcBorders>
            <w:noWrap/>
            <w:vAlign w:val="center"/>
          </w:tcPr>
          <w:p>
            <w:pPr>
              <w:widowControl/>
              <w:rPr>
                <w:rFonts w:ascii="宋体" w:hAnsi="宋体" w:cs="宋体"/>
                <w:color w:val="auto"/>
                <w:kern w:val="0"/>
                <w:sz w:val="22"/>
                <w:szCs w:val="18"/>
              </w:rPr>
            </w:pPr>
            <w:r>
              <w:rPr>
                <w:rFonts w:hint="eastAsia" w:ascii="宋体" w:hAnsi="宋体" w:cs="宋体"/>
                <w:color w:val="auto"/>
                <w:kern w:val="0"/>
                <w:sz w:val="22"/>
                <w:szCs w:val="18"/>
              </w:rPr>
              <w:t>1、质量保障承诺切实可靠，优得2分，良得1分，中得0.5分，差得0分。</w:t>
            </w:r>
            <w:r>
              <w:rPr>
                <w:rFonts w:hint="eastAsia" w:ascii="宋体" w:hAnsi="宋体" w:cs="宋体"/>
                <w:color w:val="auto"/>
                <w:kern w:val="0"/>
                <w:sz w:val="22"/>
                <w:szCs w:val="18"/>
              </w:rPr>
              <w:br w:type="textWrapping"/>
            </w:r>
            <w:r>
              <w:rPr>
                <w:rFonts w:hint="eastAsia" w:ascii="宋体" w:hAnsi="宋体" w:cs="宋体"/>
                <w:color w:val="auto"/>
                <w:kern w:val="0"/>
                <w:sz w:val="22"/>
                <w:szCs w:val="18"/>
              </w:rPr>
              <w:t>2、质量保障措施可靠，优得2分，良得1分，中得0.5分，差得0分。</w:t>
            </w:r>
            <w:r>
              <w:rPr>
                <w:rFonts w:hint="eastAsia" w:ascii="宋体" w:hAnsi="宋体" w:cs="宋体"/>
                <w:color w:val="auto"/>
                <w:kern w:val="0"/>
                <w:sz w:val="22"/>
                <w:szCs w:val="18"/>
              </w:rPr>
              <w:br w:type="textWrapping"/>
            </w:r>
            <w:r>
              <w:rPr>
                <w:rFonts w:hint="eastAsia" w:ascii="宋体" w:hAnsi="宋体" w:cs="宋体"/>
                <w:color w:val="auto"/>
                <w:kern w:val="0"/>
                <w:sz w:val="22"/>
                <w:szCs w:val="18"/>
              </w:rPr>
              <w:t>3、质量保障措施体系健全，优得2分，良得1分，中得0.5分，差得0分。</w:t>
            </w:r>
            <w:r>
              <w:rPr>
                <w:rFonts w:hint="eastAsia" w:ascii="宋体" w:hAnsi="宋体" w:cs="宋体"/>
                <w:color w:val="auto"/>
                <w:kern w:val="0"/>
                <w:sz w:val="22"/>
                <w:szCs w:val="18"/>
              </w:rPr>
              <w:br w:type="textWrapping"/>
            </w:r>
            <w:r>
              <w:rPr>
                <w:rFonts w:hint="eastAsia" w:ascii="宋体" w:hAnsi="宋体" w:cs="宋体"/>
                <w:color w:val="auto"/>
                <w:kern w:val="0"/>
                <w:sz w:val="22"/>
                <w:szCs w:val="18"/>
              </w:rPr>
              <w:t>4、质量检测手段齐全，优得2分，良得1分，中得0.5分，差得0分。</w:t>
            </w:r>
            <w:r>
              <w:rPr>
                <w:rFonts w:hint="eastAsia" w:ascii="宋体" w:hAnsi="宋体" w:cs="宋体"/>
                <w:color w:val="auto"/>
                <w:kern w:val="0"/>
                <w:sz w:val="22"/>
                <w:szCs w:val="18"/>
              </w:rPr>
              <w:br w:type="textWrapping"/>
            </w:r>
            <w:r>
              <w:rPr>
                <w:rFonts w:hint="eastAsia" w:ascii="宋体" w:hAnsi="宋体" w:cs="宋体"/>
                <w:color w:val="auto"/>
                <w:kern w:val="0"/>
                <w:sz w:val="22"/>
                <w:szCs w:val="18"/>
              </w:rPr>
              <w:t>5、能够及时向邀请方提供增值服务，优得2分，良得1分，中得0.5分，差得0分。</w:t>
            </w:r>
          </w:p>
        </w:tc>
      </w:tr>
    </w:tbl>
    <w:p>
      <w:pPr>
        <w:spacing w:line="400" w:lineRule="auto"/>
        <w:ind w:firstLine="480"/>
        <w:rPr>
          <w:rFonts w:ascii="宋体" w:hAnsi="宋体" w:cs="宋体"/>
          <w:color w:val="auto"/>
          <w:sz w:val="24"/>
        </w:rPr>
      </w:pPr>
    </w:p>
    <w:p>
      <w:pPr>
        <w:spacing w:line="400" w:lineRule="auto"/>
        <w:ind w:firstLine="480"/>
        <w:rPr>
          <w:rFonts w:ascii="宋体" w:hAnsi="宋体" w:cs="宋体"/>
          <w:color w:val="auto"/>
          <w:sz w:val="24"/>
        </w:rPr>
      </w:pPr>
      <w:r>
        <w:rPr>
          <w:rFonts w:hint="eastAsia" w:ascii="宋体" w:hAnsi="宋体" w:cs="宋体"/>
          <w:color w:val="auto"/>
          <w:sz w:val="24"/>
        </w:rPr>
        <w:t>注：供应商提供的所有证明材料复印件须盖供应商公章。</w:t>
      </w:r>
    </w:p>
    <w:p>
      <w:pPr>
        <w:spacing w:line="400" w:lineRule="auto"/>
        <w:ind w:firstLine="480"/>
        <w:rPr>
          <w:rFonts w:ascii="宋体" w:hAnsi="宋体" w:cs="宋体"/>
          <w:color w:val="auto"/>
          <w:sz w:val="24"/>
        </w:rPr>
      </w:pPr>
      <w:r>
        <w:rPr>
          <w:rFonts w:ascii="宋体" w:hAnsi="宋体" w:cs="宋体"/>
          <w:color w:val="auto"/>
          <w:sz w:val="24"/>
        </w:rPr>
        <w:t>说明：磋商小组认为，排名在前面的中标候选人的投标报价或者某些分项报价明显不合理或者低于成本，有可能影响服务质量和不能诚信履约的，将要求其在规定的期限内提供书面文件予以解释说明，并提交相关证明材料；否则，磋商小组可以取消该中标候选人资格，按顺序由排在后一位的中标候选人递补，以此类推。</w:t>
      </w:r>
    </w:p>
    <w:p>
      <w:pPr>
        <w:snapToGrid w:val="0"/>
        <w:spacing w:line="400" w:lineRule="exact"/>
        <w:ind w:firstLine="480" w:firstLineChars="200"/>
        <w:rPr>
          <w:rFonts w:ascii="宋体" w:hAnsi="宋体"/>
          <w:color w:val="auto"/>
          <w:sz w:val="24"/>
          <w:szCs w:val="24"/>
        </w:rPr>
      </w:pPr>
      <w:r>
        <w:rPr>
          <w:rFonts w:hint="eastAsia" w:ascii="宋体" w:hAnsi="宋体"/>
          <w:color w:val="auto"/>
          <w:sz w:val="24"/>
          <w:szCs w:val="24"/>
        </w:rPr>
        <w:t>（二）关于小微企业报价扣除比例说明</w:t>
      </w:r>
    </w:p>
    <w:p>
      <w:pPr>
        <w:snapToGrid w:val="0"/>
        <w:spacing w:line="400" w:lineRule="exact"/>
        <w:ind w:firstLine="480" w:firstLineChars="200"/>
        <w:rPr>
          <w:rFonts w:ascii="宋体" w:hAnsi="宋体"/>
          <w:color w:val="auto"/>
          <w:sz w:val="24"/>
          <w:szCs w:val="24"/>
        </w:rPr>
      </w:pPr>
      <w:r>
        <w:rPr>
          <w:rFonts w:hint="eastAsia" w:ascii="宋体" w:hAnsi="宋体"/>
          <w:color w:val="auto"/>
          <w:sz w:val="24"/>
          <w:szCs w:val="24"/>
        </w:rPr>
        <w:t>1.对小微型企业给予 6 %的扣除，以扣除后的报价参与评审。</w:t>
      </w:r>
    </w:p>
    <w:p>
      <w:pPr>
        <w:snapToGrid w:val="0"/>
        <w:spacing w:line="400" w:lineRule="exact"/>
        <w:ind w:firstLine="480" w:firstLineChars="200"/>
        <w:rPr>
          <w:rFonts w:ascii="宋体" w:hAnsi="宋体" w:cs="宋体"/>
          <w:color w:val="auto"/>
          <w:sz w:val="24"/>
          <w:szCs w:val="24"/>
        </w:rPr>
      </w:pPr>
      <w:r>
        <w:rPr>
          <w:rFonts w:hint="eastAsia" w:ascii="宋体" w:hAnsi="宋体"/>
          <w:color w:val="auto"/>
          <w:sz w:val="24"/>
          <w:szCs w:val="24"/>
        </w:rPr>
        <w:t>2.监狱企业、残疾人福利性单位视同小型、微型企业。</w:t>
      </w:r>
    </w:p>
    <w:p>
      <w:pPr>
        <w:pStyle w:val="4"/>
        <w:spacing w:before="0" w:after="0" w:line="400" w:lineRule="exact"/>
        <w:rPr>
          <w:rFonts w:ascii="宋体" w:hAnsi="宋体" w:cs="宋体"/>
          <w:color w:val="auto"/>
          <w:sz w:val="24"/>
          <w:szCs w:val="24"/>
        </w:rPr>
      </w:pPr>
      <w:bookmarkStart w:id="38" w:name="_Toc19798"/>
      <w:r>
        <w:rPr>
          <w:rFonts w:hint="eastAsia" w:ascii="宋体" w:hAnsi="宋体" w:cs="宋体"/>
          <w:color w:val="auto"/>
          <w:sz w:val="24"/>
          <w:szCs w:val="24"/>
        </w:rPr>
        <w:t>三、无效响应</w:t>
      </w:r>
      <w:bookmarkEnd w:id="38"/>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供应商发生以下条款情况之一者，视为无效响应，其响应文件将被拒绝：</w:t>
      </w:r>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（一）供应商不符合规定的基本资格条件或特定资格条件的；</w:t>
      </w:r>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（二）供应商未按磋商文件规定购买磋商文件的；</w:t>
      </w:r>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（三）供应商的法定代表人或其授权代表未参加磋商；</w:t>
      </w:r>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（四）供应商所提交的响应文件不按第七篇“响应文件编制要求”规定签字、盖章；</w:t>
      </w:r>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（五）法定代表人为同一个人的两个及两个以上法人，母公司、全资子公司及其控股公司，在同一分包采购中同时参与磋商；</w:t>
      </w:r>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（六）单位负责人为同一人或者存在直接控股、管理关系的不同供应商，参加同一合同项下的政府采购活动的；</w:t>
      </w:r>
    </w:p>
    <w:p>
      <w:pPr>
        <w:snapToGrid w:val="0"/>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（七）为采购项目提供整体设计、规范编制或者项目管理、监理、检测等服务的供应商，再参加该采购项目的其他采购活动；</w:t>
      </w:r>
    </w:p>
    <w:p>
      <w:pPr>
        <w:snapToGrid w:val="0"/>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（八）供应商磋商有效期不满足竞争性磋商文件要求的；</w:t>
      </w:r>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（九）供应商响应文件内容有与国家现行法律法规相违背的内容，或附有采购人无法接受的条件。</w:t>
      </w:r>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（十）供应商被列入失信被执行人、重大税收违法案件当事人名单、政府采购严重违法失信行为记录名单及其他不符合《中华人民共和国政府采购法》第二十二条规定条件的。</w:t>
      </w:r>
    </w:p>
    <w:p>
      <w:pPr>
        <w:pStyle w:val="4"/>
        <w:spacing w:before="0" w:after="0" w:line="400" w:lineRule="exact"/>
        <w:rPr>
          <w:rFonts w:ascii="宋体" w:hAnsi="宋体" w:cs="宋体"/>
          <w:color w:val="auto"/>
          <w:sz w:val="24"/>
          <w:szCs w:val="24"/>
        </w:rPr>
      </w:pPr>
      <w:bookmarkStart w:id="39" w:name="_Toc9982"/>
      <w:r>
        <w:rPr>
          <w:rFonts w:hint="eastAsia" w:ascii="宋体" w:hAnsi="宋体" w:cs="宋体"/>
          <w:color w:val="auto"/>
          <w:sz w:val="24"/>
          <w:szCs w:val="24"/>
        </w:rPr>
        <w:t>四、</w:t>
      </w:r>
      <w:bookmarkEnd w:id="36"/>
      <w:bookmarkEnd w:id="37"/>
      <w:r>
        <w:rPr>
          <w:rFonts w:hint="eastAsia" w:ascii="宋体" w:hAnsi="宋体" w:cs="宋体"/>
          <w:color w:val="auto"/>
          <w:sz w:val="24"/>
          <w:szCs w:val="24"/>
        </w:rPr>
        <w:t>采购终止</w:t>
      </w:r>
      <w:bookmarkEnd w:id="39"/>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出现下列情形之一的，采购人应当终止竞争性磋商采购活动，发布项目终止公告并说明原因，重新开展采购活动：</w:t>
      </w:r>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（一）因情况变化，不再符合规定的竞争性磋商采购方式适用情形的；</w:t>
      </w:r>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（二）出现影响采购公正的违法、违规行为的；</w:t>
      </w:r>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（三）在采购过程中符合要求的供应商或者报价未超过采购预算的供应商不足3家的，但《政府采购竞争性磋商采购方式管理暂行办法》第二十一条第三款规定</w:t>
      </w:r>
      <w:r>
        <w:rPr>
          <w:rFonts w:hint="eastAsia" w:ascii="宋体" w:hAnsi="宋体" w:cs="宋体"/>
          <w:color w:val="auto"/>
          <w:sz w:val="24"/>
        </w:rPr>
        <w:t>及（财库{2015}124号）</w:t>
      </w:r>
      <w:r>
        <w:rPr>
          <w:rFonts w:hint="eastAsia" w:ascii="宋体" w:hAnsi="宋体" w:cs="宋体"/>
          <w:color w:val="auto"/>
          <w:sz w:val="24"/>
          <w:szCs w:val="24"/>
        </w:rPr>
        <w:t>的情形除外。</w:t>
      </w:r>
    </w:p>
    <w:p>
      <w:pPr>
        <w:spacing w:line="360" w:lineRule="auto"/>
        <w:ind w:firstLine="480" w:firstLineChars="200"/>
        <w:rPr>
          <w:rFonts w:ascii="宋体" w:hAnsi="宋体" w:cs="宋体"/>
          <w:color w:val="auto"/>
          <w:sz w:val="24"/>
          <w:szCs w:val="24"/>
        </w:rPr>
        <w:sectPr>
          <w:footerReference r:id="rId8" w:type="default"/>
          <w:pgSz w:w="11907" w:h="16840"/>
          <w:pgMar w:top="1134" w:right="1191" w:bottom="1134" w:left="1304" w:header="964" w:footer="992" w:gutter="0"/>
          <w:pgNumType w:fmt="numberInDash"/>
          <w:cols w:space="720" w:num="1"/>
          <w:docGrid w:linePitch="312" w:charSpace="0"/>
        </w:sectPr>
      </w:pPr>
    </w:p>
    <w:p>
      <w:pPr>
        <w:pStyle w:val="3"/>
        <w:spacing w:line="360" w:lineRule="auto"/>
        <w:jc w:val="center"/>
        <w:rPr>
          <w:rFonts w:ascii="宋体" w:hAnsi="宋体" w:eastAsia="宋体" w:cs="宋体"/>
          <w:b w:val="0"/>
          <w:color w:val="auto"/>
          <w:szCs w:val="30"/>
        </w:rPr>
      </w:pPr>
      <w:bookmarkStart w:id="40" w:name="_Toc102227313"/>
      <w:bookmarkStart w:id="41" w:name="_Toc16555"/>
      <w:r>
        <w:rPr>
          <w:rFonts w:hint="eastAsia" w:ascii="宋体" w:hAnsi="宋体" w:eastAsia="宋体" w:cs="宋体"/>
          <w:b w:val="0"/>
          <w:color w:val="auto"/>
          <w:sz w:val="36"/>
          <w:szCs w:val="30"/>
        </w:rPr>
        <w:t>第五篇  供应商须知</w:t>
      </w:r>
      <w:bookmarkEnd w:id="40"/>
      <w:bookmarkEnd w:id="41"/>
    </w:p>
    <w:p>
      <w:pPr>
        <w:pStyle w:val="4"/>
        <w:spacing w:before="0" w:after="0" w:line="440" w:lineRule="exact"/>
        <w:rPr>
          <w:rFonts w:ascii="宋体" w:hAnsi="宋体" w:cs="宋体"/>
          <w:color w:val="auto"/>
          <w:sz w:val="24"/>
          <w:szCs w:val="24"/>
        </w:rPr>
      </w:pPr>
      <w:bookmarkStart w:id="42" w:name="_Toc342913389"/>
      <w:bookmarkStart w:id="43" w:name="_Toc23400"/>
      <w:r>
        <w:rPr>
          <w:rFonts w:hint="eastAsia" w:ascii="宋体" w:hAnsi="宋体" w:cs="宋体"/>
          <w:color w:val="auto"/>
          <w:sz w:val="24"/>
          <w:szCs w:val="24"/>
        </w:rPr>
        <w:t>一、磋商费用</w:t>
      </w:r>
      <w:bookmarkEnd w:id="42"/>
      <w:bookmarkEnd w:id="43"/>
    </w:p>
    <w:p>
      <w:pPr>
        <w:pStyle w:val="21"/>
        <w:spacing w:line="400" w:lineRule="exact"/>
        <w:ind w:firstLine="480" w:firstLineChars="200"/>
        <w:rPr>
          <w:rFonts w:hAnsi="宋体" w:cs="宋体"/>
          <w:color w:val="auto"/>
          <w:sz w:val="24"/>
          <w:szCs w:val="24"/>
        </w:rPr>
      </w:pPr>
      <w:r>
        <w:rPr>
          <w:rFonts w:hint="eastAsia" w:hAnsi="宋体" w:cs="宋体"/>
          <w:color w:val="auto"/>
          <w:sz w:val="24"/>
          <w:szCs w:val="24"/>
        </w:rPr>
        <w:t>参与磋商的供应商应承担其编制响应文件与递交响应文件所涉及的一切费用，不论磋商结果如何，采购人在任何情况下无义务也无责任承担这些费用。</w:t>
      </w:r>
    </w:p>
    <w:p>
      <w:pPr>
        <w:pStyle w:val="4"/>
        <w:tabs>
          <w:tab w:val="left" w:pos="2640"/>
        </w:tabs>
        <w:spacing w:before="0" w:after="0" w:line="400" w:lineRule="exact"/>
        <w:rPr>
          <w:rFonts w:ascii="宋体" w:hAnsi="宋体" w:cs="宋体"/>
          <w:color w:val="auto"/>
          <w:sz w:val="24"/>
          <w:szCs w:val="24"/>
        </w:rPr>
      </w:pPr>
      <w:bookmarkStart w:id="44" w:name="_Toc206"/>
      <w:bookmarkStart w:id="45" w:name="_Toc342913391"/>
      <w:r>
        <w:rPr>
          <w:rFonts w:hint="eastAsia" w:ascii="宋体" w:hAnsi="宋体" w:cs="宋体"/>
          <w:color w:val="auto"/>
          <w:sz w:val="24"/>
          <w:szCs w:val="24"/>
        </w:rPr>
        <w:t>二、竞争性磋商文件</w:t>
      </w:r>
      <w:bookmarkEnd w:id="44"/>
      <w:bookmarkEnd w:id="45"/>
    </w:p>
    <w:p>
      <w:pPr>
        <w:snapToGrid w:val="0"/>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（一）竞争性磋商文件由采购邀请书；采购项目需求；项目商务需求；磋商程序及方法、评审标准、无效响应和采购终止；供应商须知；采购合同；响应文件编制要求七部分组成。</w:t>
      </w:r>
    </w:p>
    <w:p>
      <w:pPr>
        <w:snapToGrid w:val="0"/>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（二）采购人所作的一切有效的书面通知、修改及补充，都是竞争性磋商文件不可分割的部分。</w:t>
      </w:r>
    </w:p>
    <w:p>
      <w:pPr>
        <w:snapToGrid w:val="0"/>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（三）竞争性磋商文件的解释</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供应商如对竞争性磋商文件有疑问，必须以书面形式在提交响应文件截止时间3个工作日前向采购人要求澄清，采购人可视具体情况</w:t>
      </w:r>
      <w:r>
        <w:rPr>
          <w:rFonts w:hint="eastAsia" w:ascii="宋体" w:hAnsi="宋体" w:cs="宋体"/>
          <w:color w:val="auto"/>
          <w:sz w:val="24"/>
          <w:szCs w:val="24"/>
          <w:lang w:eastAsia="zh-CN"/>
        </w:rPr>
        <w:t>作出</w:t>
      </w:r>
      <w:r>
        <w:rPr>
          <w:rFonts w:hint="eastAsia" w:ascii="宋体" w:hAnsi="宋体" w:cs="宋体"/>
          <w:color w:val="auto"/>
          <w:sz w:val="24"/>
          <w:szCs w:val="24"/>
        </w:rPr>
        <w:t>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bookmarkStart w:id="46" w:name="_Toc318166429"/>
      <w:bookmarkStart w:id="47" w:name="_Toc318159160"/>
      <w:bookmarkStart w:id="48" w:name="_Toc318159349"/>
      <w:bookmarkStart w:id="49" w:name="_Toc318159780"/>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（四）本竞争性磋商文件中，磋商小组根据与供应商进行磋商可能实质性变动的内容为竞争性磋商文件第二、三篇全部内容。</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（五）评审的依据为竞争性磋商文件和响应文件（含有效的书面承诺）。磋商小组判断响应文件对竞争性磋商文件的响应，仅基于响应文件本身而不靠外部证据。</w:t>
      </w:r>
    </w:p>
    <w:bookmarkEnd w:id="46"/>
    <w:bookmarkEnd w:id="47"/>
    <w:bookmarkEnd w:id="48"/>
    <w:bookmarkEnd w:id="49"/>
    <w:p>
      <w:pPr>
        <w:pStyle w:val="4"/>
        <w:spacing w:before="0" w:after="0" w:line="400" w:lineRule="exact"/>
        <w:rPr>
          <w:rFonts w:ascii="宋体" w:hAnsi="宋体" w:cs="宋体"/>
          <w:color w:val="auto"/>
          <w:sz w:val="24"/>
          <w:szCs w:val="24"/>
        </w:rPr>
      </w:pPr>
      <w:bookmarkStart w:id="50" w:name="_Toc26870"/>
      <w:bookmarkStart w:id="51" w:name="_Toc179714297"/>
      <w:bookmarkStart w:id="52" w:name="_Toc342913392"/>
      <w:bookmarkStart w:id="53" w:name="_Toc102227318"/>
      <w:r>
        <w:rPr>
          <w:rFonts w:hint="eastAsia" w:ascii="宋体" w:hAnsi="宋体" w:cs="宋体"/>
          <w:color w:val="auto"/>
          <w:sz w:val="24"/>
          <w:szCs w:val="24"/>
        </w:rPr>
        <w:t>三、磋商要求</w:t>
      </w:r>
      <w:bookmarkEnd w:id="50"/>
      <w:bookmarkEnd w:id="51"/>
      <w:bookmarkEnd w:id="52"/>
      <w:bookmarkEnd w:id="53"/>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（一）响应文件</w:t>
      </w:r>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1.供应商应当按照竞争性磋商文件的要求编制响应文件，并对竞争性磋商文件提出的要求和条件作出实质性响应，响应文件原则上采用软面订本，同时应编制完整的页码、目录。</w:t>
      </w:r>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2.响应文件组成</w:t>
      </w:r>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（二）联合体</w:t>
      </w:r>
    </w:p>
    <w:p>
      <w:pPr>
        <w:snapToGrid w:val="0"/>
        <w:spacing w:line="400" w:lineRule="exact"/>
        <w:ind w:firstLine="641" w:firstLineChars="266"/>
        <w:rPr>
          <w:rFonts w:ascii="宋体" w:hAnsi="宋体" w:cs="宋体"/>
          <w:color w:val="auto"/>
          <w:sz w:val="24"/>
          <w:szCs w:val="24"/>
        </w:rPr>
      </w:pPr>
      <w:r>
        <w:rPr>
          <w:rFonts w:hint="eastAsia" w:ascii="宋体" w:hAnsi="宋体" w:cs="宋体"/>
          <w:b/>
          <w:bCs/>
          <w:color w:val="auto"/>
          <w:sz w:val="24"/>
          <w:szCs w:val="24"/>
        </w:rPr>
        <w:t>本项目不接受联合体参与磋商</w:t>
      </w:r>
      <w:r>
        <w:rPr>
          <w:rFonts w:hint="eastAsia" w:ascii="宋体" w:hAnsi="宋体" w:cs="宋体"/>
          <w:color w:val="auto"/>
          <w:sz w:val="24"/>
          <w:szCs w:val="24"/>
        </w:rPr>
        <w:t>。</w:t>
      </w:r>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（三）磋商有效期：响应文件及有关承诺文件有效期为提交响应文件截止时间起90天。</w:t>
      </w:r>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（四）提交响应文件的份数和签署</w:t>
      </w:r>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1.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2.在响应文件正本中，竞争性磋商文件第七篇响应文件编制要求中规定签字、盖章的地方必须按其规定签字、盖章。</w:t>
      </w:r>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（五）响应文件的递交</w:t>
      </w:r>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1.响应文件的密封与标记</w:t>
      </w:r>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1.1响应文件的正本、副本以及电子文档均应密封送达磋商地点，应在封套上注明磋商项目名称、供应商名称。若正本、副本以及电子文档分别进行密封的，还应在封套上注明“正本”、“副本”、“电子文档”字样。</w:t>
      </w:r>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1.2封套的封口处应加盖供应商公章或由法定代表人授权代表签字。</w:t>
      </w:r>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2.如果响应文件通过邮寄递交，供应商应将响应文件用内、外两层封套密封。</w:t>
      </w:r>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2.1内层封套的封装与标记同“1、”款规定。</w:t>
      </w:r>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2.2外层封套装入“1、”款所述全部内封资料，并注明项目号、磋商项目编号、磋商项目名称、采购人名称及地址。同时应写明供应商的名称、地址，以便将迟交的响应文件原封退还。</w:t>
      </w:r>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3.如果未按上述规定进行密封和标记，采购人对响应文件误投、丢失或提前拆封不负责任。</w:t>
      </w:r>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（六）供应商参与人员</w:t>
      </w:r>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各个供应商应当派1-2名代表参与磋商，至少1人应为法定代表人或具有法定代表人授权委托书的授权代表。</w:t>
      </w:r>
    </w:p>
    <w:p>
      <w:pPr>
        <w:pStyle w:val="4"/>
        <w:spacing w:before="0" w:after="0" w:line="400" w:lineRule="exact"/>
        <w:rPr>
          <w:rFonts w:ascii="宋体" w:hAnsi="宋体" w:cs="宋体"/>
          <w:color w:val="auto"/>
          <w:sz w:val="24"/>
          <w:szCs w:val="24"/>
        </w:rPr>
      </w:pPr>
      <w:bookmarkStart w:id="54" w:name="_Toc15328"/>
      <w:r>
        <w:rPr>
          <w:rFonts w:hint="eastAsia" w:ascii="宋体" w:hAnsi="宋体" w:cs="宋体"/>
          <w:color w:val="auto"/>
          <w:sz w:val="24"/>
          <w:szCs w:val="24"/>
        </w:rPr>
        <w:t>四、成交供应商的确认和变更</w:t>
      </w:r>
      <w:bookmarkEnd w:id="54"/>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（一）成交供应商的确认</w:t>
      </w:r>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采购人应当在开标后5个工作日内，按照评分标准进行打分，按照得分由高到低进行排序，排序第一的供应商为成交供应商。</w:t>
      </w:r>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（二）成交供应商的变更</w:t>
      </w:r>
    </w:p>
    <w:p>
      <w:pPr>
        <w:snapToGrid w:val="0"/>
        <w:spacing w:line="400" w:lineRule="exact"/>
        <w:ind w:firstLine="465"/>
        <w:rPr>
          <w:rFonts w:ascii="宋体" w:hAnsi="宋体" w:cs="宋体"/>
          <w:color w:val="auto"/>
          <w:sz w:val="24"/>
          <w:szCs w:val="24"/>
        </w:rPr>
      </w:pPr>
      <w:r>
        <w:rPr>
          <w:rFonts w:hint="eastAsia" w:ascii="宋体" w:hAnsi="宋体" w:cs="宋体"/>
          <w:color w:val="auto"/>
          <w:sz w:val="24"/>
          <w:szCs w:val="24"/>
        </w:rPr>
        <w:t>成交供应商拒绝与采购人签订合同的，采购人可以按照评标报告推荐的成交候选供应商顺序，确定排名下一位的候选人为成交供应商，也可以重新开展采购活动。</w:t>
      </w:r>
    </w:p>
    <w:p>
      <w:pPr>
        <w:pStyle w:val="4"/>
        <w:spacing w:before="0" w:after="0" w:line="400" w:lineRule="exact"/>
        <w:rPr>
          <w:rFonts w:ascii="宋体" w:hAnsi="宋体" w:cs="宋体"/>
          <w:color w:val="auto"/>
          <w:sz w:val="24"/>
          <w:szCs w:val="24"/>
        </w:rPr>
      </w:pPr>
      <w:bookmarkStart w:id="55" w:name="_Toc342913395"/>
      <w:bookmarkStart w:id="56" w:name="_Toc9136"/>
      <w:bookmarkStart w:id="57" w:name="_Toc102227321"/>
      <w:r>
        <w:rPr>
          <w:rFonts w:hint="eastAsia" w:ascii="宋体" w:hAnsi="宋体" w:cs="宋体"/>
          <w:color w:val="auto"/>
          <w:sz w:val="24"/>
          <w:szCs w:val="24"/>
        </w:rPr>
        <w:t>五、成交通知</w:t>
      </w:r>
      <w:bookmarkEnd w:id="55"/>
      <w:bookmarkEnd w:id="56"/>
      <w:bookmarkEnd w:id="57"/>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（一）成交供应商确定后，采购人将在“行采家”平台（http://www.gec123.com）上发布成交结果公告。</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（二）结果公告发出同时，采购人将以书面形式发出《成交通知书》。《成交通知书》一经发出即发生法律效力。</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（三）《成交通知书》将作为签订合同的依据。</w:t>
      </w:r>
    </w:p>
    <w:p>
      <w:pPr>
        <w:spacing w:line="400" w:lineRule="exact"/>
        <w:ind w:firstLine="480" w:firstLineChars="200"/>
        <w:rPr>
          <w:rFonts w:ascii="宋体" w:hAnsi="宋体" w:cs="宋体"/>
          <w:color w:val="auto"/>
        </w:rPr>
      </w:pPr>
      <w:r>
        <w:rPr>
          <w:rFonts w:hint="eastAsia" w:ascii="宋体" w:hAnsi="宋体" w:cs="宋体"/>
          <w:color w:val="auto"/>
          <w:sz w:val="24"/>
          <w:szCs w:val="24"/>
        </w:rPr>
        <w:t>（四）如有供应商对成交结果提出质疑的，在质疑处理完毕后发出成交通知书。</w:t>
      </w:r>
    </w:p>
    <w:p>
      <w:pPr>
        <w:pStyle w:val="4"/>
        <w:spacing w:before="0" w:after="0" w:line="400" w:lineRule="exact"/>
        <w:rPr>
          <w:rFonts w:ascii="宋体" w:hAnsi="宋体" w:cs="宋体"/>
          <w:color w:val="auto"/>
          <w:sz w:val="24"/>
          <w:szCs w:val="24"/>
        </w:rPr>
      </w:pPr>
      <w:bookmarkStart w:id="58" w:name="_Toc649"/>
      <w:r>
        <w:rPr>
          <w:rFonts w:hint="eastAsia" w:ascii="宋体" w:hAnsi="宋体" w:cs="宋体"/>
          <w:color w:val="auto"/>
          <w:sz w:val="24"/>
          <w:szCs w:val="24"/>
        </w:rPr>
        <w:t>六、关于质疑</w:t>
      </w:r>
      <w:bookmarkEnd w:id="58"/>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（一）质疑</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 xml:space="preserve">供应商认为采购文件、采购过程和成交结果使自己的权益收到伤害的，可向采购人以书面形式提出质疑。提出质疑的应当是参与所质疑项目采购活动的供应商。 </w:t>
      </w:r>
    </w:p>
    <w:p>
      <w:pPr>
        <w:spacing w:line="400" w:lineRule="exact"/>
        <w:ind w:right="12" w:firstLine="480"/>
        <w:rPr>
          <w:rFonts w:ascii="宋体" w:hAnsi="宋体" w:cs="宋体"/>
          <w:color w:val="auto"/>
          <w:sz w:val="24"/>
        </w:rPr>
      </w:pPr>
      <w:r>
        <w:rPr>
          <w:rFonts w:hint="eastAsia" w:ascii="宋体" w:hAnsi="宋体" w:cs="宋体"/>
          <w:color w:val="auto"/>
          <w:sz w:val="24"/>
        </w:rPr>
        <w:t>1.质疑时限、内容</w:t>
      </w:r>
    </w:p>
    <w:p>
      <w:pPr>
        <w:spacing w:line="400" w:lineRule="exact"/>
        <w:ind w:right="12" w:firstLine="480"/>
        <w:rPr>
          <w:rFonts w:ascii="宋体" w:hAnsi="宋体" w:cs="宋体"/>
          <w:color w:val="auto"/>
          <w:sz w:val="24"/>
        </w:rPr>
      </w:pPr>
      <w:r>
        <w:rPr>
          <w:rFonts w:hint="eastAsia" w:ascii="宋体" w:hAnsi="宋体" w:cs="宋体"/>
          <w:color w:val="auto"/>
          <w:sz w:val="24"/>
        </w:rPr>
        <w:t>供应商认为采购文件、采购过程、成交结果使自己的权益受到损害的，可以在知道或者应知其权益受到损害之日起7个工作日内，以书面形式向采购人提出质疑。</w:t>
      </w:r>
    </w:p>
    <w:p>
      <w:pPr>
        <w:spacing w:line="400" w:lineRule="exact"/>
        <w:ind w:right="12" w:firstLine="480"/>
        <w:rPr>
          <w:color w:val="auto"/>
        </w:rPr>
      </w:pPr>
      <w:r>
        <w:rPr>
          <w:rFonts w:hint="eastAsia" w:ascii="宋体" w:hAnsi="宋体" w:cs="宋体"/>
          <w:color w:val="auto"/>
          <w:sz w:val="24"/>
          <w:szCs w:val="24"/>
        </w:rPr>
        <w:t>1.1供应商对采购文件提出质疑的，应在依法获取采购文件（购买了采购文件并完成了报名手续）之日或者采购文件公告期限届满之日提出。</w:t>
      </w:r>
    </w:p>
    <w:p>
      <w:pPr>
        <w:spacing w:line="400" w:lineRule="exact"/>
        <w:ind w:right="12" w:firstLine="480"/>
        <w:rPr>
          <w:rFonts w:ascii="宋体" w:hAnsi="宋体" w:cs="宋体"/>
          <w:color w:val="auto"/>
          <w:sz w:val="24"/>
        </w:rPr>
      </w:pPr>
      <w:r>
        <w:rPr>
          <w:rFonts w:hint="eastAsia" w:ascii="宋体" w:hAnsi="宋体" w:cs="宋体"/>
          <w:color w:val="auto"/>
          <w:sz w:val="24"/>
        </w:rPr>
        <w:t>1.2供应商提出质疑应当提交质疑函和必要的证明材料，质疑函应当包括下列内容：</w:t>
      </w:r>
    </w:p>
    <w:p>
      <w:pPr>
        <w:spacing w:line="400" w:lineRule="exact"/>
        <w:ind w:right="12" w:firstLine="480"/>
        <w:rPr>
          <w:rFonts w:ascii="宋体" w:hAnsi="宋体" w:cs="宋体"/>
          <w:color w:val="auto"/>
          <w:sz w:val="24"/>
        </w:rPr>
      </w:pPr>
      <w:r>
        <w:rPr>
          <w:rFonts w:hint="eastAsia" w:ascii="宋体" w:hAnsi="宋体" w:cs="宋体"/>
          <w:color w:val="auto"/>
          <w:sz w:val="24"/>
        </w:rPr>
        <w:t>1.2.1供应商的姓名或者名称、地址、邮编、联系人及联系电话；</w:t>
      </w:r>
    </w:p>
    <w:p>
      <w:pPr>
        <w:spacing w:line="400" w:lineRule="exact"/>
        <w:ind w:right="12" w:firstLine="480"/>
        <w:rPr>
          <w:rFonts w:ascii="宋体" w:hAnsi="宋体" w:cs="宋体"/>
          <w:color w:val="auto"/>
          <w:sz w:val="24"/>
        </w:rPr>
      </w:pPr>
      <w:r>
        <w:rPr>
          <w:rFonts w:hint="eastAsia" w:ascii="宋体" w:hAnsi="宋体" w:cs="宋体"/>
          <w:color w:val="auto"/>
          <w:sz w:val="24"/>
        </w:rPr>
        <w:t>1.2.2质疑项目的名称、项目号以及磋商项目编号；</w:t>
      </w:r>
    </w:p>
    <w:p>
      <w:pPr>
        <w:spacing w:line="400" w:lineRule="exact"/>
        <w:ind w:right="12" w:firstLine="480"/>
        <w:rPr>
          <w:rFonts w:ascii="宋体" w:hAnsi="宋体" w:cs="宋体"/>
          <w:color w:val="auto"/>
          <w:sz w:val="24"/>
        </w:rPr>
      </w:pPr>
      <w:r>
        <w:rPr>
          <w:rFonts w:hint="eastAsia" w:ascii="宋体" w:hAnsi="宋体" w:cs="宋体"/>
          <w:color w:val="auto"/>
          <w:sz w:val="24"/>
        </w:rPr>
        <w:t>1.2.3具体、明确的质疑事项和与质疑事项相关的请求；</w:t>
      </w:r>
    </w:p>
    <w:p>
      <w:pPr>
        <w:spacing w:line="400" w:lineRule="exact"/>
        <w:ind w:right="12" w:firstLine="480"/>
        <w:rPr>
          <w:rFonts w:ascii="宋体" w:hAnsi="宋体" w:cs="宋体"/>
          <w:color w:val="auto"/>
          <w:sz w:val="24"/>
        </w:rPr>
      </w:pPr>
      <w:r>
        <w:rPr>
          <w:rFonts w:hint="eastAsia" w:ascii="宋体" w:hAnsi="宋体" w:cs="宋体"/>
          <w:color w:val="auto"/>
          <w:sz w:val="24"/>
        </w:rPr>
        <w:t>1.2.4事实依据；</w:t>
      </w:r>
    </w:p>
    <w:p>
      <w:pPr>
        <w:spacing w:line="400" w:lineRule="exact"/>
        <w:ind w:right="12" w:firstLine="480"/>
        <w:rPr>
          <w:rFonts w:ascii="宋体" w:hAnsi="宋体" w:cs="宋体"/>
          <w:color w:val="auto"/>
          <w:sz w:val="24"/>
        </w:rPr>
      </w:pPr>
      <w:r>
        <w:rPr>
          <w:rFonts w:hint="eastAsia" w:ascii="宋体" w:hAnsi="宋体" w:cs="宋体"/>
          <w:color w:val="auto"/>
          <w:sz w:val="24"/>
        </w:rPr>
        <w:t>1.2.5必要的法律依据；</w:t>
      </w:r>
    </w:p>
    <w:p>
      <w:pPr>
        <w:spacing w:line="400" w:lineRule="exact"/>
        <w:ind w:right="12" w:firstLine="480"/>
        <w:rPr>
          <w:rFonts w:ascii="宋体" w:hAnsi="宋体" w:cs="宋体"/>
          <w:color w:val="auto"/>
          <w:sz w:val="24"/>
        </w:rPr>
      </w:pPr>
      <w:r>
        <w:rPr>
          <w:rFonts w:hint="eastAsia" w:ascii="宋体" w:hAnsi="宋体" w:cs="宋体"/>
          <w:color w:val="auto"/>
          <w:sz w:val="24"/>
        </w:rPr>
        <w:t>1.2.6提出质疑的日期；</w:t>
      </w:r>
    </w:p>
    <w:p>
      <w:pPr>
        <w:spacing w:line="400" w:lineRule="exact"/>
        <w:ind w:right="12" w:firstLine="480"/>
        <w:rPr>
          <w:rFonts w:ascii="宋体" w:hAnsi="宋体" w:cs="宋体"/>
          <w:color w:val="auto"/>
          <w:sz w:val="24"/>
        </w:rPr>
      </w:pPr>
      <w:r>
        <w:rPr>
          <w:rFonts w:hint="eastAsia" w:ascii="宋体" w:hAnsi="宋体" w:cs="宋体"/>
          <w:color w:val="auto"/>
          <w:sz w:val="24"/>
        </w:rPr>
        <w:t>1.2.7营业执照（或事业单位法人证书，或个体工商户营业执照或有效的自然人身份证明、组织机构代码证）复印件；</w:t>
      </w:r>
    </w:p>
    <w:p>
      <w:pPr>
        <w:spacing w:line="400" w:lineRule="exact"/>
        <w:ind w:right="12" w:firstLine="480"/>
        <w:rPr>
          <w:rFonts w:ascii="宋体" w:hAnsi="宋体" w:cs="宋体"/>
          <w:color w:val="auto"/>
          <w:sz w:val="24"/>
        </w:rPr>
      </w:pPr>
      <w:r>
        <w:rPr>
          <w:rFonts w:hint="eastAsia" w:ascii="宋体" w:hAnsi="宋体" w:cs="宋体"/>
          <w:color w:val="auto"/>
          <w:sz w:val="24"/>
        </w:rPr>
        <w:t>1.2.8法定代表人授权委托书原件、法定代表人身份证复印件和其授权代表的身份证复印件（供应商为自然人的提供自然人身份证复印件）；</w:t>
      </w:r>
    </w:p>
    <w:p>
      <w:pPr>
        <w:spacing w:line="400" w:lineRule="exact"/>
        <w:ind w:right="12" w:firstLine="480"/>
        <w:rPr>
          <w:rFonts w:ascii="宋体" w:hAnsi="宋体" w:cs="宋体"/>
          <w:color w:val="auto"/>
          <w:sz w:val="24"/>
        </w:rPr>
      </w:pPr>
      <w:r>
        <w:rPr>
          <w:rFonts w:hint="eastAsia" w:ascii="宋体" w:hAnsi="宋体" w:cs="宋体"/>
          <w:color w:val="auto"/>
          <w:sz w:val="24"/>
        </w:rPr>
        <w:t>1.3供应商为自然人的，质疑函应当由本人签字；供应商为法人或者其他组织的，质疑函应当由法定代表人、主要负责人，或者其授权代表签字或者盖章，并加盖公章。</w:t>
      </w:r>
    </w:p>
    <w:p>
      <w:pPr>
        <w:spacing w:line="400" w:lineRule="exact"/>
        <w:ind w:right="12" w:firstLine="480"/>
        <w:rPr>
          <w:rFonts w:ascii="宋体" w:hAnsi="宋体" w:cs="宋体"/>
          <w:color w:val="auto"/>
          <w:sz w:val="24"/>
        </w:rPr>
      </w:pPr>
      <w:r>
        <w:rPr>
          <w:rFonts w:hint="eastAsia" w:ascii="宋体" w:hAnsi="宋体" w:cs="宋体"/>
          <w:color w:val="auto"/>
          <w:sz w:val="24"/>
        </w:rPr>
        <w:t>2.质疑答复</w:t>
      </w:r>
    </w:p>
    <w:p>
      <w:pPr>
        <w:spacing w:line="400" w:lineRule="exact"/>
        <w:ind w:right="12" w:firstLine="480"/>
        <w:rPr>
          <w:rFonts w:ascii="宋体" w:hAnsi="宋体" w:cs="宋体"/>
          <w:color w:val="auto"/>
          <w:sz w:val="24"/>
        </w:rPr>
      </w:pPr>
      <w:r>
        <w:rPr>
          <w:rFonts w:hint="eastAsia" w:ascii="宋体" w:hAnsi="宋体" w:cs="宋体"/>
          <w:color w:val="auto"/>
          <w:sz w:val="24"/>
        </w:rPr>
        <w:t>采购人应当在收到供应商的书面质疑后七个工作日内作出答复，并以书面形式通知质疑供应商和其他有关供应商。</w:t>
      </w:r>
    </w:p>
    <w:p>
      <w:pPr>
        <w:spacing w:line="400" w:lineRule="exact"/>
        <w:ind w:right="12" w:firstLine="480"/>
        <w:rPr>
          <w:rFonts w:ascii="宋体" w:hAnsi="宋体" w:cs="宋体"/>
          <w:color w:val="auto"/>
          <w:sz w:val="24"/>
        </w:rPr>
      </w:pPr>
      <w:r>
        <w:rPr>
          <w:rFonts w:hint="eastAsia" w:ascii="宋体" w:hAnsi="宋体" w:cs="宋体"/>
          <w:color w:val="auto"/>
          <w:sz w:val="24"/>
        </w:rPr>
        <w:t>3.其他</w:t>
      </w:r>
    </w:p>
    <w:p>
      <w:pPr>
        <w:spacing w:line="400" w:lineRule="exact"/>
        <w:ind w:right="12" w:firstLine="480"/>
        <w:rPr>
          <w:rFonts w:ascii="宋体" w:hAnsi="宋体" w:cs="宋体"/>
          <w:color w:val="auto"/>
          <w:sz w:val="24"/>
          <w:szCs w:val="22"/>
        </w:rPr>
      </w:pPr>
      <w:r>
        <w:rPr>
          <w:rFonts w:hint="eastAsia" w:ascii="宋体" w:hAnsi="宋体" w:cs="宋体"/>
          <w:color w:val="auto"/>
          <w:sz w:val="24"/>
        </w:rPr>
        <w:t>供应商应按照相关法律法规要求，在法定质疑期内一次性提出针对同一采购程序环节的质疑。</w:t>
      </w:r>
    </w:p>
    <w:p>
      <w:pPr>
        <w:pStyle w:val="4"/>
        <w:spacing w:before="0" w:after="0" w:line="400" w:lineRule="exact"/>
        <w:rPr>
          <w:rFonts w:ascii="宋体" w:hAnsi="宋体" w:cs="宋体"/>
          <w:color w:val="auto"/>
          <w:sz w:val="24"/>
          <w:szCs w:val="24"/>
        </w:rPr>
      </w:pPr>
      <w:bookmarkStart w:id="59" w:name="_Toc15187"/>
      <w:r>
        <w:rPr>
          <w:rFonts w:hint="eastAsia" w:ascii="宋体" w:hAnsi="宋体" w:cs="宋体"/>
          <w:color w:val="auto"/>
          <w:sz w:val="24"/>
          <w:szCs w:val="24"/>
        </w:rPr>
        <w:t>七、</w:t>
      </w:r>
      <w:bookmarkStart w:id="60" w:name="_Toc102227322"/>
      <w:bookmarkStart w:id="61" w:name="_Toc342913396"/>
      <w:bookmarkStart w:id="62" w:name="_Toc11641055"/>
      <w:bookmarkStart w:id="63" w:name="_Toc12789059"/>
      <w:r>
        <w:rPr>
          <w:rFonts w:hint="eastAsia" w:ascii="宋体" w:hAnsi="宋体" w:cs="宋体"/>
          <w:color w:val="auto"/>
          <w:sz w:val="24"/>
          <w:szCs w:val="24"/>
        </w:rPr>
        <w:t>签订</w:t>
      </w:r>
      <w:bookmarkEnd w:id="60"/>
      <w:r>
        <w:rPr>
          <w:rFonts w:hint="eastAsia" w:ascii="宋体" w:hAnsi="宋体" w:cs="宋体"/>
          <w:color w:val="auto"/>
          <w:sz w:val="24"/>
          <w:szCs w:val="24"/>
        </w:rPr>
        <w:t>合同</w:t>
      </w:r>
      <w:bookmarkEnd w:id="59"/>
      <w:bookmarkEnd w:id="61"/>
    </w:p>
    <w:p>
      <w:pPr>
        <w:spacing w:line="400" w:lineRule="exact"/>
        <w:ind w:firstLine="360" w:firstLineChars="150"/>
        <w:rPr>
          <w:rFonts w:ascii="宋体" w:hAnsi="宋体" w:cs="宋体"/>
          <w:color w:val="auto"/>
          <w:sz w:val="24"/>
          <w:szCs w:val="24"/>
        </w:rPr>
      </w:pPr>
      <w:r>
        <w:rPr>
          <w:rFonts w:hint="eastAsia" w:ascii="宋体" w:hAnsi="宋体" w:cs="宋体"/>
          <w:color w:val="auto"/>
          <w:sz w:val="24"/>
          <w:szCs w:val="24"/>
        </w:rPr>
        <w:t>（一）采购人应当自成交通知书发出之日起三十日内，按照竞争性磋商文件和成交供应商响应文件的约定，与成交供应商签订书面合同。所签订的合同不得对竞争性磋商文件和供应商的响应文件作实质性修改。</w:t>
      </w:r>
    </w:p>
    <w:p>
      <w:pPr>
        <w:spacing w:line="400" w:lineRule="exact"/>
        <w:ind w:firstLine="360" w:firstLineChars="150"/>
        <w:rPr>
          <w:rFonts w:ascii="宋体" w:hAnsi="宋体" w:cs="宋体"/>
          <w:color w:val="auto"/>
          <w:sz w:val="24"/>
          <w:szCs w:val="24"/>
        </w:rPr>
      </w:pPr>
      <w:r>
        <w:rPr>
          <w:rFonts w:hint="eastAsia" w:ascii="宋体" w:hAnsi="宋体" w:cs="宋体"/>
          <w:color w:val="auto"/>
          <w:sz w:val="24"/>
          <w:szCs w:val="24"/>
        </w:rPr>
        <w:t>（二）竞争性磋商文件、供应商的响应文件及澄清文件等，均为签订政府采购合同的依据。</w:t>
      </w:r>
    </w:p>
    <w:p>
      <w:pPr>
        <w:spacing w:line="400" w:lineRule="exact"/>
        <w:ind w:firstLine="360" w:firstLineChars="150"/>
        <w:rPr>
          <w:rFonts w:ascii="宋体" w:hAnsi="宋体" w:cs="宋体"/>
          <w:color w:val="auto"/>
          <w:sz w:val="24"/>
          <w:szCs w:val="24"/>
        </w:rPr>
      </w:pPr>
      <w:r>
        <w:rPr>
          <w:rFonts w:hint="eastAsia" w:ascii="宋体" w:hAnsi="宋体" w:cs="宋体"/>
          <w:color w:val="auto"/>
          <w:sz w:val="24"/>
          <w:szCs w:val="24"/>
        </w:rPr>
        <w:t>（三）合同生效条款由供需双方约定，法律、行政法规规定应当办理批准、登记等手续后生效的合同，依照其规定。</w:t>
      </w:r>
    </w:p>
    <w:p>
      <w:pPr>
        <w:spacing w:line="400" w:lineRule="exact"/>
        <w:ind w:firstLine="360" w:firstLineChars="150"/>
        <w:rPr>
          <w:rFonts w:ascii="宋体" w:hAnsi="宋体" w:cs="宋体"/>
          <w:color w:val="auto"/>
          <w:sz w:val="24"/>
          <w:szCs w:val="24"/>
        </w:rPr>
      </w:pPr>
      <w:r>
        <w:rPr>
          <w:rFonts w:hint="eastAsia" w:ascii="宋体" w:hAnsi="宋体" w:cs="宋体"/>
          <w:color w:val="auto"/>
          <w:sz w:val="24"/>
          <w:szCs w:val="24"/>
        </w:rPr>
        <w:t>（四）合同原则上应按照《采购合同》签订，相关单位要求适用合同通用格式版本的，应按其要求另行签订其他合同。</w:t>
      </w:r>
    </w:p>
    <w:p>
      <w:pPr>
        <w:spacing w:line="400" w:lineRule="exact"/>
        <w:ind w:firstLine="360" w:firstLineChars="150"/>
        <w:rPr>
          <w:rFonts w:ascii="宋体" w:hAnsi="宋体" w:cs="宋体"/>
          <w:color w:val="auto"/>
          <w:sz w:val="24"/>
          <w:szCs w:val="24"/>
        </w:rPr>
      </w:pPr>
      <w:r>
        <w:rPr>
          <w:rFonts w:hint="eastAsia" w:ascii="宋体" w:hAnsi="宋体" w:cs="宋体"/>
          <w:color w:val="auto"/>
          <w:sz w:val="24"/>
          <w:szCs w:val="24"/>
        </w:rPr>
        <w:t>（五）采购人要求成交供应商提供履约保证金的，应当在竞争性磋商文件中予以约定。成交供应商履约完毕后，采购人根据采购文件规定无息退还其履约保证金。</w:t>
      </w:r>
    </w:p>
    <w:p>
      <w:pPr>
        <w:pStyle w:val="3"/>
        <w:spacing w:before="0" w:after="0" w:line="360" w:lineRule="auto"/>
        <w:jc w:val="center"/>
        <w:rPr>
          <w:rFonts w:ascii="宋体" w:hAnsi="宋体" w:eastAsia="宋体" w:cs="宋体"/>
          <w:b w:val="0"/>
          <w:color w:val="auto"/>
          <w:sz w:val="36"/>
          <w:szCs w:val="30"/>
        </w:rPr>
      </w:pPr>
      <w:r>
        <w:rPr>
          <w:rFonts w:hint="eastAsia" w:ascii="宋体" w:hAnsi="宋体" w:eastAsia="宋体" w:cs="宋体"/>
          <w:color w:val="auto"/>
          <w:sz w:val="36"/>
          <w:szCs w:val="30"/>
        </w:rPr>
        <w:br w:type="page"/>
      </w:r>
      <w:bookmarkStart w:id="64" w:name="_Toc2145"/>
      <w:r>
        <w:rPr>
          <w:rFonts w:hint="eastAsia" w:ascii="宋体" w:hAnsi="宋体" w:eastAsia="宋体" w:cs="宋体"/>
          <w:b w:val="0"/>
          <w:color w:val="auto"/>
          <w:sz w:val="36"/>
          <w:szCs w:val="30"/>
        </w:rPr>
        <w:t xml:space="preserve">第六篇  </w:t>
      </w:r>
      <w:bookmarkEnd w:id="62"/>
      <w:bookmarkEnd w:id="63"/>
      <w:r>
        <w:rPr>
          <w:rFonts w:hint="eastAsia" w:ascii="宋体" w:hAnsi="宋体" w:eastAsia="宋体" w:cs="宋体"/>
          <w:b w:val="0"/>
          <w:color w:val="auto"/>
          <w:sz w:val="36"/>
          <w:szCs w:val="30"/>
        </w:rPr>
        <w:t>采购合同</w:t>
      </w:r>
      <w:bookmarkEnd w:id="64"/>
    </w:p>
    <w:p>
      <w:pPr>
        <w:rPr>
          <w:rFonts w:ascii="宋体" w:hAnsi="宋体"/>
          <w:color w:val="auto"/>
          <w:sz w:val="32"/>
        </w:rPr>
      </w:pPr>
    </w:p>
    <w:p>
      <w:pPr>
        <w:rPr>
          <w:rFonts w:ascii="宋体" w:hAnsi="宋体"/>
          <w:color w:val="auto"/>
        </w:rPr>
      </w:pPr>
    </w:p>
    <w:p>
      <w:pPr>
        <w:rPr>
          <w:rFonts w:ascii="宋体" w:hAnsi="宋体"/>
          <w:b/>
          <w:bCs/>
          <w:color w:val="auto"/>
          <w:sz w:val="44"/>
        </w:rPr>
      </w:pPr>
    </w:p>
    <w:p>
      <w:pPr>
        <w:rPr>
          <w:rFonts w:ascii="宋体" w:hAnsi="宋体"/>
          <w:b/>
          <w:bCs/>
          <w:color w:val="auto"/>
          <w:sz w:val="44"/>
        </w:rPr>
      </w:pPr>
    </w:p>
    <w:p>
      <w:pPr>
        <w:jc w:val="center"/>
        <w:rPr>
          <w:rFonts w:ascii="宋体" w:hAnsi="宋体"/>
          <w:b/>
          <w:bCs/>
          <w:color w:val="auto"/>
          <w:sz w:val="52"/>
        </w:rPr>
      </w:pPr>
      <w:r>
        <w:rPr>
          <w:rFonts w:hint="eastAsia" w:ascii="宋体" w:hAnsi="宋体"/>
          <w:b/>
          <w:bCs/>
          <w:color w:val="auto"/>
          <w:sz w:val="52"/>
        </w:rPr>
        <w:t>项目合作协议</w:t>
      </w:r>
    </w:p>
    <w:p>
      <w:pPr>
        <w:spacing w:line="480" w:lineRule="auto"/>
        <w:rPr>
          <w:rFonts w:ascii="宋体" w:hAnsi="宋体"/>
          <w:color w:val="auto"/>
          <w:sz w:val="32"/>
        </w:rPr>
      </w:pPr>
    </w:p>
    <w:p>
      <w:pPr>
        <w:spacing w:line="480" w:lineRule="auto"/>
        <w:rPr>
          <w:rFonts w:ascii="宋体" w:hAnsi="宋体"/>
          <w:color w:val="auto"/>
          <w:sz w:val="32"/>
        </w:rPr>
      </w:pPr>
    </w:p>
    <w:p>
      <w:pPr>
        <w:adjustRightInd w:val="0"/>
        <w:snapToGrid w:val="0"/>
        <w:spacing w:line="360" w:lineRule="auto"/>
        <w:rPr>
          <w:rFonts w:ascii="新宋体" w:hAnsi="新宋体" w:eastAsia="黑体"/>
          <w:color w:val="auto"/>
          <w:sz w:val="30"/>
          <w:szCs w:val="30"/>
        </w:rPr>
      </w:pPr>
      <w:r>
        <w:rPr>
          <w:rFonts w:hint="eastAsia" w:ascii="黑体" w:hAnsi="黑体" w:eastAsia="黑体"/>
          <w:color w:val="auto"/>
          <w:sz w:val="32"/>
          <w:szCs w:val="32"/>
        </w:rPr>
        <w:t>项目名称：重庆市计量发展规划（2021-2035）编制咨询服务项目</w:t>
      </w:r>
    </w:p>
    <w:p>
      <w:pPr>
        <w:spacing w:line="800" w:lineRule="exact"/>
        <w:ind w:left="3605" w:leftChars="384" w:hanging="2530" w:hangingChars="700"/>
        <w:rPr>
          <w:rFonts w:ascii="宋体" w:hAnsi="宋体" w:cs="宋体"/>
          <w:b/>
          <w:bCs/>
          <w:color w:val="auto"/>
          <w:sz w:val="36"/>
          <w:szCs w:val="30"/>
        </w:rPr>
      </w:pPr>
    </w:p>
    <w:p>
      <w:pPr>
        <w:spacing w:line="700" w:lineRule="exact"/>
        <w:ind w:firstLine="1446" w:firstLineChars="400"/>
        <w:rPr>
          <w:rFonts w:ascii="宋体" w:hAnsi="宋体" w:cs="宋体"/>
          <w:b/>
          <w:bCs/>
          <w:color w:val="auto"/>
          <w:sz w:val="36"/>
          <w:szCs w:val="30"/>
        </w:rPr>
      </w:pPr>
    </w:p>
    <w:p>
      <w:pPr>
        <w:spacing w:line="700" w:lineRule="exact"/>
        <w:jc w:val="center"/>
        <w:rPr>
          <w:rFonts w:ascii="宋体" w:hAnsi="宋体" w:cs="宋体"/>
          <w:b/>
          <w:bCs/>
          <w:color w:val="auto"/>
          <w:sz w:val="30"/>
          <w:szCs w:val="30"/>
        </w:rPr>
      </w:pPr>
    </w:p>
    <w:p>
      <w:pPr>
        <w:spacing w:line="480" w:lineRule="auto"/>
        <w:rPr>
          <w:rFonts w:ascii="新宋体" w:hAnsi="新宋体" w:eastAsia="新宋体"/>
          <w:color w:val="auto"/>
          <w:sz w:val="30"/>
          <w:szCs w:val="30"/>
        </w:rPr>
      </w:pPr>
    </w:p>
    <w:p>
      <w:pPr>
        <w:spacing w:line="480" w:lineRule="auto"/>
        <w:rPr>
          <w:rFonts w:ascii="新宋体" w:hAnsi="新宋体" w:eastAsia="新宋体"/>
          <w:color w:val="auto"/>
          <w:sz w:val="30"/>
          <w:szCs w:val="30"/>
        </w:rPr>
      </w:pPr>
    </w:p>
    <w:p>
      <w:pPr>
        <w:adjustRightInd w:val="0"/>
        <w:snapToGrid w:val="0"/>
        <w:spacing w:line="360" w:lineRule="auto"/>
        <w:ind w:firstLine="1120" w:firstLineChars="400"/>
        <w:rPr>
          <w:rFonts w:ascii="黑体" w:hAnsi="黑体" w:eastAsia="黑体"/>
          <w:color w:val="auto"/>
          <w:sz w:val="32"/>
          <w:szCs w:val="32"/>
        </w:rPr>
      </w:pPr>
      <w:r>
        <w:rPr>
          <w:rFonts w:hint="eastAsia" w:ascii="黑体" w:hAnsi="黑体" w:eastAsia="黑体"/>
          <w:color w:val="auto"/>
          <w:szCs w:val="28"/>
        </w:rPr>
        <w:t>甲    方：重庆市计量质量检测研究院</w:t>
      </w:r>
    </w:p>
    <w:p>
      <w:pPr>
        <w:spacing w:line="480" w:lineRule="auto"/>
        <w:ind w:firstLine="1120" w:firstLineChars="400"/>
        <w:rPr>
          <w:rFonts w:ascii="黑体" w:hAnsi="黑体" w:eastAsia="黑体"/>
          <w:color w:val="auto"/>
          <w:szCs w:val="28"/>
        </w:rPr>
      </w:pPr>
      <w:r>
        <w:rPr>
          <w:rFonts w:hint="eastAsia" w:ascii="黑体" w:hAnsi="黑体" w:eastAsia="黑体"/>
          <w:color w:val="auto"/>
          <w:szCs w:val="28"/>
        </w:rPr>
        <w:t>乙    方：</w:t>
      </w:r>
    </w:p>
    <w:p>
      <w:pPr>
        <w:spacing w:line="480" w:lineRule="auto"/>
        <w:rPr>
          <w:rFonts w:ascii="宋体" w:hAnsi="宋体"/>
          <w:color w:val="auto"/>
          <w:sz w:val="32"/>
        </w:rPr>
      </w:pPr>
    </w:p>
    <w:p>
      <w:pPr>
        <w:spacing w:line="480" w:lineRule="auto"/>
        <w:ind w:firstLine="1540" w:firstLineChars="550"/>
        <w:rPr>
          <w:rFonts w:ascii="宋体" w:hAnsi="宋体"/>
          <w:color w:val="auto"/>
          <w:szCs w:val="28"/>
        </w:rPr>
      </w:pPr>
    </w:p>
    <w:p>
      <w:pPr>
        <w:ind w:firstLine="2660" w:firstLineChars="950"/>
        <w:rPr>
          <w:rFonts w:ascii="宋体" w:hAnsi="宋体"/>
          <w:color w:val="auto"/>
          <w:szCs w:val="28"/>
        </w:rPr>
      </w:pPr>
      <w:r>
        <w:rPr>
          <w:rFonts w:hint="eastAsia" w:ascii="宋体" w:hAnsi="宋体"/>
          <w:color w:val="auto"/>
          <w:szCs w:val="28"/>
        </w:rPr>
        <w:t>签订地点：</w:t>
      </w:r>
    </w:p>
    <w:p>
      <w:pPr>
        <w:ind w:firstLine="2660" w:firstLineChars="950"/>
        <w:rPr>
          <w:rFonts w:ascii="宋体" w:hAnsi="宋体"/>
          <w:color w:val="auto"/>
          <w:szCs w:val="28"/>
        </w:rPr>
      </w:pPr>
      <w:r>
        <w:rPr>
          <w:rFonts w:hint="eastAsia" w:ascii="宋体" w:hAnsi="宋体"/>
          <w:color w:val="auto"/>
          <w:szCs w:val="28"/>
        </w:rPr>
        <w:t>签订日期：</w:t>
      </w:r>
    </w:p>
    <w:p>
      <w:pPr>
        <w:rPr>
          <w:rFonts w:ascii="宋体" w:hAnsi="宋体"/>
          <w:color w:val="auto"/>
          <w:szCs w:val="28"/>
        </w:rPr>
      </w:pPr>
    </w:p>
    <w:p>
      <w:pPr>
        <w:spacing w:line="360" w:lineRule="auto"/>
        <w:rPr>
          <w:rFonts w:ascii="宋体" w:hAnsi="宋体"/>
          <w:color w:val="auto"/>
          <w:sz w:val="24"/>
        </w:rPr>
      </w:pPr>
    </w:p>
    <w:p>
      <w:pPr>
        <w:spacing w:line="520" w:lineRule="exact"/>
        <w:ind w:firstLine="560" w:firstLineChars="200"/>
        <w:rPr>
          <w:rFonts w:ascii="宋体" w:hAnsi="宋体"/>
          <w:color w:val="auto"/>
          <w:szCs w:val="28"/>
        </w:rPr>
      </w:pPr>
      <w:r>
        <w:rPr>
          <w:rFonts w:ascii="宋体" w:hAnsi="宋体"/>
          <w:color w:val="auto"/>
          <w:szCs w:val="28"/>
        </w:rPr>
        <w:br w:type="page"/>
      </w:r>
      <w:r>
        <w:rPr>
          <w:rFonts w:hint="eastAsia" w:ascii="宋体" w:hAnsi="宋体"/>
          <w:color w:val="auto"/>
          <w:szCs w:val="28"/>
        </w:rPr>
        <w:t>甲方委托乙方就《重庆市计量发展规划（2021-2035）》提供</w:t>
      </w:r>
      <w:r>
        <w:rPr>
          <w:rFonts w:ascii="宋体" w:hAnsi="宋体"/>
          <w:color w:val="auto"/>
          <w:szCs w:val="28"/>
        </w:rPr>
        <w:t>项目</w:t>
      </w:r>
      <w:r>
        <w:rPr>
          <w:rFonts w:hint="eastAsia" w:ascii="宋体" w:hAnsi="宋体"/>
          <w:color w:val="auto"/>
          <w:szCs w:val="28"/>
        </w:rPr>
        <w:t>咨询服务。为了明确双方的权利和义务，保证项目的顺利进行，双方根据《中华人民共和国合同法》以及相关法律法规，在自愿、平等、互利的基础上签订本协议。</w:t>
      </w:r>
    </w:p>
    <w:p>
      <w:pPr>
        <w:spacing w:line="520" w:lineRule="exact"/>
        <w:ind w:firstLine="562" w:firstLineChars="200"/>
        <w:rPr>
          <w:rFonts w:ascii="宋体" w:hAnsi="宋体"/>
          <w:b/>
          <w:bCs/>
          <w:color w:val="auto"/>
          <w:szCs w:val="28"/>
        </w:rPr>
      </w:pPr>
      <w:r>
        <w:rPr>
          <w:rFonts w:hint="eastAsia" w:ascii="宋体" w:hAnsi="宋体"/>
          <w:b/>
          <w:bCs/>
          <w:color w:val="auto"/>
          <w:szCs w:val="28"/>
        </w:rPr>
        <w:t>协议内容：</w:t>
      </w:r>
    </w:p>
    <w:p>
      <w:pPr>
        <w:numPr>
          <w:ilvl w:val="0"/>
          <w:numId w:val="2"/>
        </w:numPr>
        <w:spacing w:line="520" w:lineRule="exact"/>
        <w:ind w:firstLine="562" w:firstLineChars="200"/>
        <w:rPr>
          <w:rFonts w:ascii="宋体" w:hAnsi="宋体"/>
          <w:b/>
          <w:bCs/>
          <w:color w:val="auto"/>
          <w:szCs w:val="28"/>
        </w:rPr>
      </w:pPr>
      <w:r>
        <w:rPr>
          <w:rFonts w:hint="eastAsia" w:ascii="宋体" w:hAnsi="宋体"/>
          <w:b/>
          <w:bCs/>
          <w:color w:val="auto"/>
          <w:szCs w:val="28"/>
        </w:rPr>
        <w:t xml:space="preserve"> 项目范围及质量要求</w:t>
      </w:r>
    </w:p>
    <w:p>
      <w:pPr>
        <w:spacing w:line="520" w:lineRule="exact"/>
        <w:ind w:firstLine="560" w:firstLineChars="200"/>
        <w:rPr>
          <w:rFonts w:ascii="宋体" w:hAnsi="宋体"/>
          <w:color w:val="auto"/>
          <w:szCs w:val="28"/>
        </w:rPr>
      </w:pPr>
      <w:r>
        <w:rPr>
          <w:rFonts w:hint="eastAsia" w:ascii="宋体" w:hAnsi="宋体"/>
          <w:color w:val="auto"/>
          <w:szCs w:val="28"/>
        </w:rPr>
        <w:t>一．项目范围与内容：</w:t>
      </w:r>
    </w:p>
    <w:p>
      <w:pPr>
        <w:spacing w:line="520" w:lineRule="exact"/>
        <w:ind w:firstLine="560" w:firstLineChars="200"/>
        <w:rPr>
          <w:rFonts w:ascii="宋体" w:hAnsi="宋体"/>
          <w:color w:val="auto"/>
          <w:szCs w:val="28"/>
        </w:rPr>
      </w:pPr>
      <w:r>
        <w:rPr>
          <w:rFonts w:hint="eastAsia" w:ascii="宋体" w:hAnsi="宋体"/>
          <w:color w:val="auto"/>
          <w:szCs w:val="28"/>
        </w:rPr>
        <w:t>乙方为</w:t>
      </w:r>
      <w:r>
        <w:rPr>
          <w:rFonts w:ascii="宋体" w:hAnsi="宋体"/>
          <w:color w:val="auto"/>
          <w:szCs w:val="28"/>
        </w:rPr>
        <w:t>甲方提供</w:t>
      </w:r>
      <w:r>
        <w:rPr>
          <w:rFonts w:hint="eastAsia" w:ascii="宋体" w:hAnsi="宋体"/>
          <w:color w:val="auto"/>
          <w:szCs w:val="28"/>
        </w:rPr>
        <w:t>重庆市计量发展规划（2021-2035）</w:t>
      </w:r>
      <w:r>
        <w:rPr>
          <w:rFonts w:ascii="宋体" w:hAnsi="宋体"/>
          <w:color w:val="auto"/>
          <w:szCs w:val="28"/>
        </w:rPr>
        <w:t>的项目</w:t>
      </w:r>
      <w:r>
        <w:rPr>
          <w:rFonts w:hint="eastAsia" w:ascii="宋体" w:hAnsi="宋体"/>
          <w:color w:val="auto"/>
          <w:szCs w:val="28"/>
        </w:rPr>
        <w:t>咨询</w:t>
      </w:r>
      <w:r>
        <w:rPr>
          <w:rFonts w:ascii="宋体" w:hAnsi="宋体"/>
          <w:color w:val="auto"/>
          <w:szCs w:val="28"/>
        </w:rPr>
        <w:t>和</w:t>
      </w:r>
      <w:r>
        <w:rPr>
          <w:rFonts w:hint="eastAsia" w:ascii="宋体" w:hAnsi="宋体"/>
          <w:color w:val="auto"/>
          <w:szCs w:val="28"/>
        </w:rPr>
        <w:t>编制工作，交付成果为：</w:t>
      </w:r>
    </w:p>
    <w:p>
      <w:pPr>
        <w:spacing w:line="520" w:lineRule="exact"/>
        <w:ind w:firstLine="560" w:firstLineChars="200"/>
        <w:rPr>
          <w:rFonts w:ascii="宋体" w:hAnsi="宋体"/>
          <w:color w:val="auto"/>
          <w:szCs w:val="28"/>
        </w:rPr>
      </w:pPr>
      <w:r>
        <w:rPr>
          <w:rFonts w:hint="eastAsia" w:ascii="宋体" w:hAnsi="宋体"/>
          <w:color w:val="auto"/>
          <w:szCs w:val="28"/>
        </w:rPr>
        <w:t>《重庆市计量发展规划（2021-2035）》</w:t>
      </w:r>
    </w:p>
    <w:p>
      <w:pPr>
        <w:spacing w:line="520" w:lineRule="exact"/>
        <w:ind w:firstLine="560" w:firstLineChars="200"/>
        <w:rPr>
          <w:rFonts w:ascii="宋体" w:hAnsi="宋体"/>
          <w:color w:val="auto"/>
          <w:szCs w:val="28"/>
        </w:rPr>
      </w:pPr>
      <w:r>
        <w:rPr>
          <w:rFonts w:hint="eastAsia" w:ascii="宋体" w:hAnsi="宋体"/>
          <w:color w:val="auto"/>
          <w:szCs w:val="28"/>
        </w:rPr>
        <w:t>二．质量要求：</w:t>
      </w:r>
    </w:p>
    <w:p>
      <w:pPr>
        <w:spacing w:line="520" w:lineRule="exact"/>
        <w:ind w:firstLine="560" w:firstLineChars="200"/>
        <w:rPr>
          <w:rFonts w:ascii="宋体" w:hAnsi="宋体"/>
          <w:color w:val="auto"/>
          <w:szCs w:val="28"/>
        </w:rPr>
      </w:pPr>
      <w:r>
        <w:rPr>
          <w:rFonts w:hint="eastAsia" w:ascii="宋体" w:hAnsi="宋体"/>
          <w:color w:val="auto"/>
          <w:szCs w:val="28"/>
        </w:rPr>
        <w:t>（1）项目成果应当切合甲方实际，具有前瞻性、实用性、可行性；</w:t>
      </w:r>
    </w:p>
    <w:p>
      <w:pPr>
        <w:spacing w:line="520" w:lineRule="exact"/>
        <w:ind w:firstLine="560" w:firstLineChars="200"/>
        <w:rPr>
          <w:rFonts w:ascii="宋体" w:hAnsi="宋体"/>
          <w:color w:val="auto"/>
          <w:szCs w:val="28"/>
        </w:rPr>
      </w:pPr>
      <w:r>
        <w:rPr>
          <w:rFonts w:hint="eastAsia" w:ascii="宋体" w:hAnsi="宋体"/>
          <w:color w:val="auto"/>
          <w:szCs w:val="28"/>
        </w:rPr>
        <w:t>（2）项目成果应具有科学性；</w:t>
      </w:r>
    </w:p>
    <w:p>
      <w:pPr>
        <w:spacing w:line="520" w:lineRule="exact"/>
        <w:ind w:firstLine="560" w:firstLineChars="200"/>
        <w:rPr>
          <w:rFonts w:ascii="宋体" w:hAnsi="宋体"/>
          <w:color w:val="auto"/>
          <w:szCs w:val="28"/>
        </w:rPr>
      </w:pPr>
      <w:r>
        <w:rPr>
          <w:rFonts w:hint="eastAsia" w:ascii="宋体" w:hAnsi="宋体"/>
          <w:color w:val="auto"/>
          <w:szCs w:val="28"/>
        </w:rPr>
        <w:t>（3）项目成果应当符合国家、</w:t>
      </w:r>
      <w:r>
        <w:rPr>
          <w:rFonts w:ascii="宋体" w:hAnsi="宋体"/>
          <w:color w:val="auto"/>
          <w:szCs w:val="28"/>
        </w:rPr>
        <w:t>重庆市</w:t>
      </w:r>
      <w:r>
        <w:rPr>
          <w:rFonts w:hint="eastAsia" w:ascii="宋体" w:hAnsi="宋体"/>
          <w:color w:val="auto"/>
          <w:szCs w:val="28"/>
        </w:rPr>
        <w:t>相关法规和规范要求；</w:t>
      </w:r>
    </w:p>
    <w:p>
      <w:pPr>
        <w:spacing w:line="520" w:lineRule="exact"/>
        <w:ind w:firstLine="560" w:firstLineChars="200"/>
        <w:rPr>
          <w:rFonts w:ascii="宋体" w:hAnsi="宋体"/>
          <w:color w:val="auto"/>
          <w:szCs w:val="28"/>
        </w:rPr>
      </w:pPr>
      <w:r>
        <w:rPr>
          <w:rFonts w:hint="eastAsia" w:ascii="宋体" w:hAnsi="宋体"/>
          <w:color w:val="auto"/>
          <w:szCs w:val="28"/>
        </w:rPr>
        <w:t>（4）项目成果满足甲方的有关文件、制度等要求，且通过甲方上级主管部门审核</w:t>
      </w:r>
      <w:r>
        <w:rPr>
          <w:rFonts w:ascii="宋体" w:hAnsi="宋体"/>
          <w:color w:val="auto"/>
          <w:szCs w:val="28"/>
        </w:rPr>
        <w:t>。</w:t>
      </w:r>
    </w:p>
    <w:p>
      <w:pPr>
        <w:spacing w:line="520" w:lineRule="exact"/>
        <w:ind w:firstLine="560" w:firstLineChars="200"/>
        <w:rPr>
          <w:rFonts w:ascii="宋体" w:hAnsi="宋体"/>
          <w:color w:val="auto"/>
          <w:szCs w:val="28"/>
        </w:rPr>
      </w:pPr>
      <w:r>
        <w:rPr>
          <w:rFonts w:hint="eastAsia" w:ascii="宋体" w:hAnsi="宋体"/>
          <w:color w:val="auto"/>
          <w:szCs w:val="28"/>
        </w:rPr>
        <w:t>三.工作时间要求：</w:t>
      </w:r>
    </w:p>
    <w:p>
      <w:pPr>
        <w:spacing w:line="520" w:lineRule="exact"/>
        <w:ind w:firstLine="560" w:firstLineChars="200"/>
        <w:rPr>
          <w:rFonts w:ascii="宋体" w:hAnsi="宋体"/>
          <w:color w:val="auto"/>
          <w:szCs w:val="28"/>
        </w:rPr>
      </w:pPr>
      <w:r>
        <w:rPr>
          <w:rFonts w:hint="eastAsia" w:ascii="宋体" w:hAnsi="宋体"/>
          <w:color w:val="auto"/>
          <w:szCs w:val="28"/>
        </w:rPr>
        <w:t>（1）2021年9月6日前提交第一次送审稿报相关部门征求意见；</w:t>
      </w:r>
    </w:p>
    <w:p>
      <w:pPr>
        <w:spacing w:line="520" w:lineRule="exact"/>
        <w:ind w:firstLine="560" w:firstLineChars="200"/>
        <w:rPr>
          <w:rFonts w:ascii="宋体" w:hAnsi="宋体"/>
          <w:color w:val="auto"/>
          <w:szCs w:val="28"/>
        </w:rPr>
      </w:pPr>
      <w:r>
        <w:rPr>
          <w:rFonts w:hint="eastAsia" w:ascii="宋体" w:hAnsi="宋体"/>
          <w:color w:val="auto"/>
          <w:szCs w:val="28"/>
        </w:rPr>
        <w:t>（2）2021年9月20日前提交第二次送审稿，开展专家论证，进行合法性审查并公示；</w:t>
      </w:r>
    </w:p>
    <w:p>
      <w:pPr>
        <w:spacing w:line="520" w:lineRule="exact"/>
        <w:ind w:firstLine="560" w:firstLineChars="200"/>
        <w:rPr>
          <w:rFonts w:ascii="宋体" w:hAnsi="宋体"/>
          <w:color w:val="auto"/>
          <w:szCs w:val="28"/>
        </w:rPr>
      </w:pPr>
      <w:r>
        <w:rPr>
          <w:rFonts w:hint="eastAsia" w:ascii="宋体" w:hAnsi="宋体"/>
          <w:color w:val="auto"/>
          <w:szCs w:val="28"/>
        </w:rPr>
        <w:t>（3）2021年11月10日前提交第三次送审稿报市市场监管局党组审议定稿；</w:t>
      </w:r>
    </w:p>
    <w:p>
      <w:pPr>
        <w:spacing w:line="520" w:lineRule="exact"/>
        <w:ind w:firstLine="560" w:firstLineChars="200"/>
        <w:rPr>
          <w:rFonts w:ascii="宋体" w:hAnsi="宋体"/>
          <w:color w:val="auto"/>
          <w:szCs w:val="28"/>
        </w:rPr>
      </w:pPr>
      <w:r>
        <w:rPr>
          <w:rFonts w:hint="eastAsia" w:ascii="宋体" w:hAnsi="宋体"/>
          <w:color w:val="auto"/>
          <w:szCs w:val="28"/>
        </w:rPr>
        <w:t>（4）2021年11月30日前定稿报市政府审议</w:t>
      </w:r>
    </w:p>
    <w:p>
      <w:pPr>
        <w:numPr>
          <w:ilvl w:val="0"/>
          <w:numId w:val="2"/>
        </w:numPr>
        <w:spacing w:line="520" w:lineRule="exact"/>
        <w:ind w:firstLine="562" w:firstLineChars="200"/>
        <w:rPr>
          <w:rFonts w:ascii="宋体" w:hAnsi="宋体"/>
          <w:b/>
          <w:bCs/>
          <w:color w:val="auto"/>
          <w:szCs w:val="28"/>
        </w:rPr>
      </w:pPr>
      <w:r>
        <w:rPr>
          <w:rFonts w:hint="eastAsia" w:ascii="宋体" w:hAnsi="宋体"/>
          <w:b/>
          <w:bCs/>
          <w:color w:val="auto"/>
          <w:szCs w:val="28"/>
        </w:rPr>
        <w:t>履行期限、地点和方式</w:t>
      </w:r>
    </w:p>
    <w:p>
      <w:pPr>
        <w:spacing w:line="520" w:lineRule="exact"/>
        <w:ind w:firstLine="560" w:firstLineChars="200"/>
        <w:rPr>
          <w:rFonts w:ascii="宋体" w:hAnsi="宋体"/>
          <w:color w:val="auto"/>
          <w:szCs w:val="28"/>
        </w:rPr>
      </w:pPr>
      <w:r>
        <w:rPr>
          <w:rFonts w:hint="eastAsia" w:ascii="宋体" w:hAnsi="宋体"/>
          <w:color w:val="auto"/>
          <w:szCs w:val="28"/>
        </w:rPr>
        <w:t xml:space="preserve">本合同自2021年 </w:t>
      </w:r>
      <w:r>
        <w:rPr>
          <w:rFonts w:ascii="宋体" w:hAnsi="宋体"/>
          <w:color w:val="auto"/>
          <w:szCs w:val="28"/>
        </w:rPr>
        <w:t xml:space="preserve"> </w:t>
      </w:r>
      <w:r>
        <w:rPr>
          <w:rFonts w:hint="eastAsia" w:ascii="宋体" w:hAnsi="宋体"/>
          <w:color w:val="auto"/>
          <w:szCs w:val="28"/>
        </w:rPr>
        <w:t>月  日至2021年  月  日由双方协作在甲、乙双方所在地履行。</w:t>
      </w:r>
    </w:p>
    <w:p>
      <w:pPr>
        <w:spacing w:line="520" w:lineRule="exact"/>
        <w:ind w:firstLine="562" w:firstLineChars="200"/>
        <w:rPr>
          <w:rFonts w:ascii="宋体" w:hAnsi="宋体"/>
          <w:b/>
          <w:bCs/>
          <w:color w:val="auto"/>
          <w:szCs w:val="28"/>
        </w:rPr>
      </w:pPr>
      <w:r>
        <w:rPr>
          <w:rFonts w:hint="eastAsia" w:ascii="宋体" w:hAnsi="宋体"/>
          <w:b/>
          <w:bCs/>
          <w:color w:val="auto"/>
          <w:szCs w:val="28"/>
        </w:rPr>
        <w:t>第</w:t>
      </w:r>
      <w:r>
        <w:rPr>
          <w:rFonts w:ascii="宋体" w:hAnsi="宋体"/>
          <w:b/>
          <w:bCs/>
          <w:color w:val="auto"/>
          <w:szCs w:val="28"/>
        </w:rPr>
        <w:t>三条</w:t>
      </w:r>
      <w:r>
        <w:rPr>
          <w:rFonts w:hint="eastAsia" w:ascii="宋体" w:hAnsi="宋体"/>
          <w:b/>
          <w:bCs/>
          <w:color w:val="auto"/>
          <w:szCs w:val="28"/>
        </w:rPr>
        <w:t>甲方义务</w:t>
      </w:r>
    </w:p>
    <w:p>
      <w:pPr>
        <w:spacing w:line="520" w:lineRule="exact"/>
        <w:ind w:firstLine="560" w:firstLineChars="200"/>
        <w:rPr>
          <w:rFonts w:ascii="宋体" w:hAnsi="宋体"/>
          <w:color w:val="auto"/>
          <w:szCs w:val="28"/>
        </w:rPr>
      </w:pPr>
      <w:r>
        <w:rPr>
          <w:rFonts w:hint="eastAsia" w:ascii="宋体" w:hAnsi="宋体"/>
          <w:color w:val="auto"/>
          <w:szCs w:val="28"/>
        </w:rPr>
        <w:t>一．为乙方派驻甲方的项目小组提供必要的办公、通讯、打印及工作便利，乙方因本项目到重庆市外调研访谈人员的食、宿、行费用应由乙方承担。</w:t>
      </w:r>
    </w:p>
    <w:p>
      <w:pPr>
        <w:spacing w:line="520" w:lineRule="exact"/>
        <w:ind w:firstLine="560" w:firstLineChars="200"/>
        <w:rPr>
          <w:rFonts w:ascii="宋体" w:hAnsi="宋体"/>
          <w:color w:val="auto"/>
          <w:szCs w:val="28"/>
        </w:rPr>
      </w:pPr>
      <w:r>
        <w:rPr>
          <w:rFonts w:hint="eastAsia" w:ascii="宋体" w:hAnsi="宋体"/>
          <w:color w:val="auto"/>
          <w:szCs w:val="28"/>
        </w:rPr>
        <w:t>二．为乙方派驻甲方的咨询顾问配备1名专职联络人员，协助项目小组工作。</w:t>
      </w:r>
    </w:p>
    <w:p>
      <w:pPr>
        <w:spacing w:line="520" w:lineRule="exact"/>
        <w:ind w:firstLine="560" w:firstLineChars="200"/>
        <w:rPr>
          <w:rFonts w:ascii="宋体" w:hAnsi="宋体"/>
          <w:color w:val="auto"/>
          <w:szCs w:val="28"/>
        </w:rPr>
      </w:pPr>
      <w:r>
        <w:rPr>
          <w:rFonts w:hint="eastAsia" w:ascii="宋体" w:hAnsi="宋体"/>
          <w:color w:val="auto"/>
          <w:szCs w:val="28"/>
        </w:rPr>
        <w:t>三．项目进行期间，甲方应及时向乙方提供所必需的经营、管理等方面的真实材料。</w:t>
      </w:r>
    </w:p>
    <w:p>
      <w:pPr>
        <w:spacing w:line="520" w:lineRule="exact"/>
        <w:ind w:firstLine="560" w:firstLineChars="200"/>
        <w:rPr>
          <w:rFonts w:ascii="宋体" w:hAnsi="宋体"/>
          <w:color w:val="auto"/>
          <w:szCs w:val="28"/>
        </w:rPr>
      </w:pPr>
      <w:r>
        <w:rPr>
          <w:rFonts w:hint="eastAsia" w:ascii="宋体" w:hAnsi="宋体"/>
          <w:color w:val="auto"/>
          <w:szCs w:val="28"/>
        </w:rPr>
        <w:t>四．项目工作期间，当乙方的项目小组因项目需要而对相关人员进行访谈和调查时，甲方应予以配合。</w:t>
      </w:r>
    </w:p>
    <w:p>
      <w:pPr>
        <w:spacing w:line="520" w:lineRule="exact"/>
        <w:ind w:firstLine="562" w:firstLineChars="200"/>
        <w:rPr>
          <w:rFonts w:ascii="宋体" w:hAnsi="宋体"/>
          <w:b/>
          <w:bCs/>
          <w:color w:val="auto"/>
          <w:szCs w:val="28"/>
        </w:rPr>
      </w:pPr>
      <w:r>
        <w:rPr>
          <w:rFonts w:hint="eastAsia" w:ascii="宋体" w:hAnsi="宋体"/>
          <w:b/>
          <w:bCs/>
          <w:color w:val="auto"/>
          <w:szCs w:val="28"/>
        </w:rPr>
        <w:t>第</w:t>
      </w:r>
      <w:r>
        <w:rPr>
          <w:rFonts w:ascii="宋体" w:hAnsi="宋体"/>
          <w:b/>
          <w:bCs/>
          <w:color w:val="auto"/>
          <w:szCs w:val="28"/>
        </w:rPr>
        <w:t>四条</w:t>
      </w:r>
      <w:r>
        <w:rPr>
          <w:rFonts w:hint="eastAsia" w:ascii="宋体" w:hAnsi="宋体"/>
          <w:b/>
          <w:bCs/>
          <w:color w:val="auto"/>
          <w:szCs w:val="28"/>
        </w:rPr>
        <w:t>乙方义务</w:t>
      </w:r>
    </w:p>
    <w:p>
      <w:pPr>
        <w:spacing w:line="520" w:lineRule="exact"/>
        <w:ind w:firstLine="560" w:firstLineChars="200"/>
        <w:rPr>
          <w:rFonts w:ascii="宋体" w:hAnsi="宋体"/>
          <w:color w:val="auto"/>
          <w:szCs w:val="28"/>
        </w:rPr>
      </w:pPr>
      <w:r>
        <w:rPr>
          <w:rFonts w:hint="eastAsia" w:ascii="宋体" w:hAnsi="宋体"/>
          <w:color w:val="auto"/>
          <w:szCs w:val="28"/>
        </w:rPr>
        <w:t>一．协议生效以后，项目启动开始时乙方应向甲方提交项目小组人员名单及工作计划。</w:t>
      </w:r>
    </w:p>
    <w:p>
      <w:pPr>
        <w:spacing w:line="520" w:lineRule="exact"/>
        <w:ind w:firstLine="560" w:firstLineChars="200"/>
        <w:rPr>
          <w:rFonts w:ascii="宋体" w:hAnsi="宋体"/>
          <w:color w:val="auto"/>
          <w:szCs w:val="28"/>
        </w:rPr>
      </w:pPr>
      <w:r>
        <w:rPr>
          <w:rFonts w:hint="eastAsia" w:ascii="宋体" w:hAnsi="宋体"/>
          <w:color w:val="auto"/>
          <w:szCs w:val="28"/>
        </w:rPr>
        <w:t>二．派驻项目小组进入甲方，进行项目范围内的信息收集、整理及方案设计工作。</w:t>
      </w:r>
    </w:p>
    <w:p>
      <w:pPr>
        <w:spacing w:line="520" w:lineRule="exact"/>
        <w:ind w:firstLine="560" w:firstLineChars="200"/>
        <w:rPr>
          <w:rFonts w:ascii="宋体" w:hAnsi="宋体"/>
          <w:color w:val="auto"/>
          <w:szCs w:val="28"/>
        </w:rPr>
      </w:pPr>
      <w:r>
        <w:rPr>
          <w:rFonts w:hint="eastAsia" w:ascii="宋体" w:hAnsi="宋体"/>
          <w:color w:val="auto"/>
          <w:szCs w:val="28"/>
        </w:rPr>
        <w:t>三．项目小组成员应遵守甲方的各项规章制度，不得从事有损甲方声誉及利益的活动。</w:t>
      </w:r>
    </w:p>
    <w:p>
      <w:pPr>
        <w:spacing w:line="520" w:lineRule="exact"/>
        <w:ind w:firstLine="560" w:firstLineChars="200"/>
        <w:rPr>
          <w:rFonts w:ascii="宋体" w:hAnsi="宋体"/>
          <w:color w:val="auto"/>
          <w:szCs w:val="28"/>
        </w:rPr>
      </w:pPr>
      <w:r>
        <w:rPr>
          <w:rFonts w:hint="eastAsia" w:ascii="宋体" w:hAnsi="宋体"/>
          <w:color w:val="auto"/>
          <w:szCs w:val="28"/>
        </w:rPr>
        <w:t>四．项目小组应按其所提交的工作计划向甲方汇报项目的进程。</w:t>
      </w:r>
    </w:p>
    <w:p>
      <w:pPr>
        <w:spacing w:line="520" w:lineRule="exact"/>
        <w:ind w:firstLine="560" w:firstLineChars="200"/>
        <w:rPr>
          <w:rFonts w:ascii="宋体" w:hAnsi="宋体"/>
          <w:color w:val="auto"/>
          <w:szCs w:val="28"/>
        </w:rPr>
      </w:pPr>
      <w:r>
        <w:rPr>
          <w:rFonts w:hint="eastAsia" w:ascii="宋体" w:hAnsi="宋体"/>
          <w:color w:val="auto"/>
          <w:szCs w:val="28"/>
        </w:rPr>
        <w:t>五．项目小组应保质保量、按时地向甲方提交项目成果。</w:t>
      </w:r>
    </w:p>
    <w:p>
      <w:pPr>
        <w:spacing w:line="520" w:lineRule="exact"/>
        <w:ind w:firstLine="560" w:firstLineChars="200"/>
        <w:rPr>
          <w:rFonts w:ascii="宋体" w:hAnsi="宋体"/>
          <w:color w:val="auto"/>
          <w:szCs w:val="28"/>
        </w:rPr>
      </w:pPr>
      <w:r>
        <w:rPr>
          <w:rFonts w:hint="eastAsia" w:ascii="宋体" w:hAnsi="宋体"/>
          <w:color w:val="auto"/>
          <w:szCs w:val="28"/>
        </w:rPr>
        <w:t>六．项目小组不应向甲方提出项目内容之外的其它要求。</w:t>
      </w:r>
    </w:p>
    <w:p>
      <w:pPr>
        <w:spacing w:line="520" w:lineRule="exact"/>
        <w:ind w:firstLine="562" w:firstLineChars="200"/>
        <w:rPr>
          <w:rFonts w:ascii="宋体" w:hAnsi="宋体"/>
          <w:b/>
          <w:bCs/>
          <w:color w:val="auto"/>
          <w:szCs w:val="28"/>
        </w:rPr>
      </w:pPr>
      <w:r>
        <w:rPr>
          <w:rFonts w:hint="eastAsia" w:ascii="宋体" w:hAnsi="宋体"/>
          <w:b/>
          <w:bCs/>
          <w:color w:val="auto"/>
          <w:szCs w:val="28"/>
        </w:rPr>
        <w:t>第</w:t>
      </w:r>
      <w:r>
        <w:rPr>
          <w:rFonts w:ascii="宋体" w:hAnsi="宋体"/>
          <w:b/>
          <w:bCs/>
          <w:color w:val="auto"/>
          <w:szCs w:val="28"/>
        </w:rPr>
        <w:t>五条</w:t>
      </w:r>
      <w:r>
        <w:rPr>
          <w:rFonts w:hint="eastAsia" w:ascii="宋体" w:hAnsi="宋体"/>
          <w:b/>
          <w:bCs/>
          <w:color w:val="auto"/>
          <w:szCs w:val="28"/>
        </w:rPr>
        <w:t xml:space="preserve">  保密条款</w:t>
      </w:r>
    </w:p>
    <w:p>
      <w:pPr>
        <w:spacing w:line="520" w:lineRule="exact"/>
        <w:ind w:firstLine="560" w:firstLineChars="200"/>
        <w:rPr>
          <w:rFonts w:ascii="宋体" w:hAnsi="宋体"/>
          <w:color w:val="auto"/>
          <w:szCs w:val="28"/>
        </w:rPr>
      </w:pPr>
      <w:r>
        <w:rPr>
          <w:rFonts w:hint="eastAsia" w:ascii="宋体" w:hAnsi="宋体"/>
          <w:color w:val="auto"/>
          <w:szCs w:val="28"/>
        </w:rPr>
        <w:t>一．乙方对甲方所提供的一切资料予以保密。该保密义务不因本协议的终止而终止，在甲方所提供的的信息、资料等成为公开信息前，乙方及乙方参与本项目的人员应持续承担保密义务。</w:t>
      </w:r>
    </w:p>
    <w:p>
      <w:pPr>
        <w:spacing w:line="520" w:lineRule="exact"/>
        <w:ind w:firstLine="560" w:firstLineChars="200"/>
        <w:rPr>
          <w:rFonts w:ascii="宋体" w:hAnsi="宋体"/>
          <w:color w:val="auto"/>
          <w:szCs w:val="28"/>
        </w:rPr>
      </w:pPr>
      <w:r>
        <w:rPr>
          <w:rFonts w:hint="eastAsia" w:ascii="宋体" w:hAnsi="宋体"/>
          <w:color w:val="auto"/>
          <w:szCs w:val="28"/>
        </w:rPr>
        <w:t>二．乙方所提供的咨询意见仅供甲方的内部人员进行决策参考，不应示于项目以外的其他人员。</w:t>
      </w:r>
    </w:p>
    <w:p>
      <w:pPr>
        <w:spacing w:line="520" w:lineRule="exact"/>
        <w:ind w:firstLine="560" w:firstLineChars="200"/>
        <w:rPr>
          <w:rFonts w:ascii="宋体" w:hAnsi="宋体"/>
          <w:color w:val="auto"/>
          <w:szCs w:val="28"/>
        </w:rPr>
      </w:pPr>
      <w:r>
        <w:rPr>
          <w:rFonts w:hint="eastAsia" w:ascii="宋体" w:hAnsi="宋体"/>
          <w:color w:val="auto"/>
          <w:szCs w:val="28"/>
        </w:rPr>
        <w:t>三．项目完成后，由甲方提供给乙方的一切资料，乙方除必要档案外，一律返还甲方。</w:t>
      </w:r>
    </w:p>
    <w:p>
      <w:pPr>
        <w:spacing w:line="520" w:lineRule="exact"/>
        <w:ind w:firstLine="562" w:firstLineChars="200"/>
        <w:rPr>
          <w:rFonts w:ascii="宋体" w:hAnsi="宋体"/>
          <w:b/>
          <w:bCs/>
          <w:color w:val="auto"/>
          <w:szCs w:val="28"/>
        </w:rPr>
      </w:pPr>
      <w:r>
        <w:rPr>
          <w:rFonts w:hint="eastAsia" w:ascii="宋体" w:hAnsi="宋体"/>
          <w:b/>
          <w:bCs/>
          <w:color w:val="auto"/>
          <w:szCs w:val="28"/>
        </w:rPr>
        <w:t>第</w:t>
      </w:r>
      <w:r>
        <w:rPr>
          <w:rFonts w:ascii="宋体" w:hAnsi="宋体"/>
          <w:b/>
          <w:bCs/>
          <w:color w:val="auto"/>
          <w:szCs w:val="28"/>
        </w:rPr>
        <w:t>六条</w:t>
      </w:r>
      <w:r>
        <w:rPr>
          <w:rFonts w:hint="eastAsia" w:ascii="宋体" w:hAnsi="宋体"/>
          <w:b/>
          <w:bCs/>
          <w:color w:val="auto"/>
          <w:szCs w:val="28"/>
        </w:rPr>
        <w:t xml:space="preserve">  知识产权条款</w:t>
      </w:r>
    </w:p>
    <w:p>
      <w:pPr>
        <w:spacing w:line="520" w:lineRule="exact"/>
        <w:ind w:firstLine="560" w:firstLineChars="200"/>
        <w:rPr>
          <w:rFonts w:ascii="宋体" w:hAnsi="宋体"/>
          <w:color w:val="auto"/>
          <w:szCs w:val="28"/>
        </w:rPr>
      </w:pPr>
      <w:r>
        <w:rPr>
          <w:rFonts w:hint="eastAsia" w:ascii="宋体" w:hAnsi="宋体"/>
          <w:color w:val="auto"/>
          <w:szCs w:val="28"/>
        </w:rPr>
        <w:t>（1）服务费用未履约支付，项目成果的知识产权归乙方所有</w:t>
      </w:r>
      <w:r>
        <w:rPr>
          <w:rFonts w:hint="eastAsia" w:ascii="宋体" w:hAnsi="宋体"/>
          <w:color w:val="auto"/>
          <w:szCs w:val="28"/>
          <w:lang w:eastAsia="zh-CN"/>
        </w:rPr>
        <w:t>；</w:t>
      </w:r>
      <w:r>
        <w:rPr>
          <w:rFonts w:hint="eastAsia" w:ascii="宋体" w:hAnsi="宋体"/>
          <w:color w:val="auto"/>
          <w:szCs w:val="28"/>
        </w:rPr>
        <w:t>服务费用履约支付后，项目成果的知识产权归</w:t>
      </w:r>
      <w:r>
        <w:rPr>
          <w:rFonts w:hint="eastAsia" w:ascii="宋体" w:hAnsi="宋体"/>
          <w:color w:val="auto"/>
          <w:szCs w:val="28"/>
          <w:lang w:eastAsia="zh-CN"/>
        </w:rPr>
        <w:t>甲</w:t>
      </w:r>
      <w:r>
        <w:rPr>
          <w:rFonts w:hint="eastAsia" w:ascii="宋体" w:hAnsi="宋体"/>
          <w:color w:val="auto"/>
          <w:szCs w:val="28"/>
        </w:rPr>
        <w:t>方所有。</w:t>
      </w:r>
    </w:p>
    <w:p>
      <w:pPr>
        <w:spacing w:line="520" w:lineRule="exact"/>
        <w:ind w:firstLine="560" w:firstLineChars="200"/>
        <w:rPr>
          <w:rFonts w:ascii="宋体" w:hAnsi="宋体"/>
          <w:color w:val="auto"/>
          <w:szCs w:val="28"/>
        </w:rPr>
      </w:pPr>
      <w:r>
        <w:rPr>
          <w:rFonts w:hint="eastAsia" w:ascii="宋体" w:hAnsi="宋体"/>
          <w:color w:val="auto"/>
          <w:szCs w:val="28"/>
        </w:rPr>
        <w:t>（2）乙方应确保甲方使用乙方提交的成果免于遭受任何有关知识产权侵权的指控或纠纷，否则，由此发生的法律责任及费用、损失由乙方承担。</w:t>
      </w:r>
    </w:p>
    <w:p>
      <w:pPr>
        <w:spacing w:line="520" w:lineRule="exact"/>
        <w:ind w:firstLine="562" w:firstLineChars="200"/>
        <w:rPr>
          <w:rFonts w:ascii="宋体" w:hAnsi="宋体"/>
          <w:b/>
          <w:bCs/>
          <w:color w:val="auto"/>
          <w:szCs w:val="28"/>
        </w:rPr>
      </w:pPr>
      <w:r>
        <w:rPr>
          <w:rFonts w:hint="eastAsia" w:ascii="宋体" w:hAnsi="宋体"/>
          <w:b/>
          <w:bCs/>
          <w:color w:val="auto"/>
          <w:szCs w:val="28"/>
        </w:rPr>
        <w:t>第七条  验收、评价方法</w:t>
      </w:r>
    </w:p>
    <w:p>
      <w:pPr>
        <w:spacing w:line="520" w:lineRule="exact"/>
        <w:ind w:firstLine="560" w:firstLineChars="200"/>
        <w:rPr>
          <w:rFonts w:ascii="宋体" w:hAnsi="宋体"/>
          <w:b/>
          <w:bCs/>
          <w:color w:val="auto"/>
          <w:szCs w:val="28"/>
        </w:rPr>
      </w:pPr>
      <w:r>
        <w:rPr>
          <w:rFonts w:hint="eastAsia" w:ascii="宋体" w:hAnsi="宋体"/>
          <w:color w:val="auto"/>
          <w:szCs w:val="28"/>
        </w:rPr>
        <w:t>项目成果达到了本合同第一条所列要求后，由甲方对乙方的项目成果进行验收。</w:t>
      </w:r>
    </w:p>
    <w:p>
      <w:pPr>
        <w:spacing w:line="520" w:lineRule="exact"/>
        <w:ind w:firstLine="562" w:firstLineChars="200"/>
        <w:rPr>
          <w:rFonts w:ascii="宋体" w:hAnsi="宋体"/>
          <w:b/>
          <w:bCs/>
          <w:color w:val="auto"/>
          <w:szCs w:val="28"/>
        </w:rPr>
      </w:pPr>
      <w:r>
        <w:rPr>
          <w:rFonts w:hint="eastAsia" w:ascii="宋体" w:hAnsi="宋体"/>
          <w:b/>
          <w:bCs/>
          <w:color w:val="auto"/>
          <w:szCs w:val="28"/>
        </w:rPr>
        <w:t>第</w:t>
      </w:r>
      <w:r>
        <w:rPr>
          <w:rFonts w:ascii="宋体" w:hAnsi="宋体"/>
          <w:b/>
          <w:bCs/>
          <w:color w:val="auto"/>
          <w:szCs w:val="28"/>
        </w:rPr>
        <w:t>八条</w:t>
      </w:r>
      <w:r>
        <w:rPr>
          <w:rFonts w:hint="eastAsia" w:ascii="宋体" w:hAnsi="宋体"/>
          <w:b/>
          <w:bCs/>
          <w:color w:val="auto"/>
          <w:szCs w:val="28"/>
        </w:rPr>
        <w:t>项目收费及支付方式</w:t>
      </w:r>
    </w:p>
    <w:p>
      <w:pPr>
        <w:spacing w:line="520" w:lineRule="exact"/>
        <w:ind w:firstLine="560" w:firstLineChars="200"/>
        <w:rPr>
          <w:rFonts w:ascii="宋体" w:hAnsi="宋体"/>
          <w:color w:val="auto"/>
          <w:szCs w:val="28"/>
        </w:rPr>
      </w:pPr>
      <w:r>
        <w:rPr>
          <w:rFonts w:hint="eastAsia" w:ascii="宋体" w:hAnsi="宋体"/>
          <w:color w:val="auto"/>
          <w:szCs w:val="28"/>
        </w:rPr>
        <w:t>一．本协议项目咨询服务费用为：￥万元(人民币万元整)</w:t>
      </w:r>
    </w:p>
    <w:p>
      <w:pPr>
        <w:spacing w:line="520" w:lineRule="exact"/>
        <w:ind w:firstLine="560" w:firstLineChars="200"/>
        <w:rPr>
          <w:rFonts w:ascii="宋体" w:hAnsi="宋体"/>
          <w:color w:val="auto"/>
          <w:szCs w:val="28"/>
        </w:rPr>
      </w:pPr>
      <w:r>
        <w:rPr>
          <w:rFonts w:hint="eastAsia" w:ascii="宋体" w:hAnsi="宋体"/>
          <w:color w:val="auto"/>
          <w:szCs w:val="28"/>
        </w:rPr>
        <w:t>二．支付方式如下：</w:t>
      </w:r>
    </w:p>
    <w:p>
      <w:pPr>
        <w:spacing w:line="520" w:lineRule="exact"/>
        <w:ind w:firstLine="560" w:firstLineChars="200"/>
        <w:rPr>
          <w:rFonts w:ascii="宋体" w:hAnsi="宋体"/>
          <w:color w:val="auto"/>
          <w:szCs w:val="28"/>
        </w:rPr>
      </w:pPr>
      <w:r>
        <w:rPr>
          <w:rFonts w:hint="eastAsia" w:ascii="宋体" w:hAnsi="宋体"/>
          <w:color w:val="auto"/>
          <w:szCs w:val="28"/>
        </w:rPr>
        <w:t>1）经甲方审批流程验收，并报上级单位审核通过后一次性支付。</w:t>
      </w:r>
    </w:p>
    <w:p>
      <w:pPr>
        <w:spacing w:line="520" w:lineRule="exact"/>
        <w:ind w:firstLine="560" w:firstLineChars="200"/>
        <w:rPr>
          <w:rFonts w:ascii="宋体" w:hAnsi="宋体"/>
          <w:color w:val="auto"/>
          <w:szCs w:val="28"/>
        </w:rPr>
      </w:pPr>
      <w:r>
        <w:rPr>
          <w:rFonts w:hint="eastAsia" w:ascii="宋体" w:hAnsi="宋体"/>
          <w:color w:val="auto"/>
          <w:szCs w:val="28"/>
        </w:rPr>
        <w:t>2）付款均以转账方式进行。</w:t>
      </w:r>
    </w:p>
    <w:p>
      <w:pPr>
        <w:spacing w:line="520" w:lineRule="exact"/>
        <w:ind w:firstLine="560" w:firstLineChars="200"/>
        <w:rPr>
          <w:rFonts w:ascii="宋体" w:hAnsi="宋体"/>
          <w:color w:val="auto"/>
          <w:szCs w:val="28"/>
        </w:rPr>
      </w:pPr>
      <w:r>
        <w:rPr>
          <w:rFonts w:hint="eastAsia" w:ascii="宋体" w:hAnsi="宋体"/>
          <w:color w:val="auto"/>
          <w:szCs w:val="28"/>
        </w:rPr>
        <w:t>3）支付币种：双方同意用人民币支付。</w:t>
      </w:r>
    </w:p>
    <w:p>
      <w:pPr>
        <w:spacing w:line="520" w:lineRule="exact"/>
        <w:ind w:firstLine="560" w:firstLineChars="200"/>
        <w:rPr>
          <w:rFonts w:ascii="宋体" w:hAnsi="宋体"/>
          <w:color w:val="auto"/>
          <w:szCs w:val="28"/>
        </w:rPr>
      </w:pPr>
      <w:r>
        <w:rPr>
          <w:rFonts w:hint="eastAsia" w:ascii="宋体" w:hAnsi="宋体"/>
          <w:color w:val="auto"/>
          <w:szCs w:val="28"/>
        </w:rPr>
        <w:t>4）乙方应向甲方提供税务机关认可的增值税专用发票。</w:t>
      </w:r>
    </w:p>
    <w:p>
      <w:pPr>
        <w:spacing w:line="520" w:lineRule="exact"/>
        <w:ind w:firstLine="562" w:firstLineChars="200"/>
        <w:rPr>
          <w:rFonts w:ascii="宋体" w:hAnsi="宋体"/>
          <w:b/>
          <w:bCs/>
          <w:color w:val="auto"/>
          <w:szCs w:val="28"/>
        </w:rPr>
      </w:pPr>
      <w:r>
        <w:rPr>
          <w:rFonts w:hint="eastAsia" w:ascii="宋体" w:hAnsi="宋体"/>
          <w:b/>
          <w:bCs/>
          <w:color w:val="auto"/>
          <w:szCs w:val="28"/>
        </w:rPr>
        <w:t>第</w:t>
      </w:r>
      <w:r>
        <w:rPr>
          <w:rFonts w:ascii="宋体" w:hAnsi="宋体"/>
          <w:b/>
          <w:bCs/>
          <w:color w:val="auto"/>
          <w:szCs w:val="28"/>
        </w:rPr>
        <w:t>九条</w:t>
      </w:r>
      <w:r>
        <w:rPr>
          <w:rFonts w:hint="eastAsia" w:ascii="宋体" w:hAnsi="宋体"/>
          <w:b/>
          <w:bCs/>
          <w:color w:val="auto"/>
          <w:szCs w:val="28"/>
        </w:rPr>
        <w:t xml:space="preserve">  其它约定</w:t>
      </w:r>
    </w:p>
    <w:p>
      <w:pPr>
        <w:spacing w:line="520" w:lineRule="exact"/>
        <w:ind w:firstLine="560" w:firstLineChars="200"/>
        <w:rPr>
          <w:rFonts w:ascii="宋体" w:hAnsi="宋体"/>
          <w:color w:val="auto"/>
          <w:szCs w:val="28"/>
        </w:rPr>
      </w:pPr>
      <w:r>
        <w:rPr>
          <w:rFonts w:hint="eastAsia" w:ascii="宋体" w:hAnsi="宋体"/>
          <w:color w:val="auto"/>
          <w:szCs w:val="28"/>
        </w:rPr>
        <w:t>一．乙方向甲方提交项目成果后，经甲</w:t>
      </w:r>
      <w:r>
        <w:rPr>
          <w:rFonts w:ascii="宋体" w:hAnsi="宋体"/>
          <w:color w:val="auto"/>
          <w:szCs w:val="28"/>
        </w:rPr>
        <w:t>方</w:t>
      </w:r>
      <w:r>
        <w:rPr>
          <w:rFonts w:hint="eastAsia" w:ascii="宋体" w:hAnsi="宋体"/>
          <w:color w:val="auto"/>
          <w:szCs w:val="28"/>
        </w:rPr>
        <w:t>审核</w:t>
      </w:r>
      <w:r>
        <w:rPr>
          <w:rFonts w:ascii="宋体" w:hAnsi="宋体"/>
          <w:color w:val="auto"/>
          <w:szCs w:val="28"/>
        </w:rPr>
        <w:t>并</w:t>
      </w:r>
      <w:r>
        <w:rPr>
          <w:rFonts w:hint="eastAsia" w:ascii="宋体" w:hAnsi="宋体"/>
          <w:color w:val="auto"/>
          <w:szCs w:val="28"/>
        </w:rPr>
        <w:t>报送</w:t>
      </w:r>
      <w:r>
        <w:rPr>
          <w:rFonts w:ascii="宋体" w:hAnsi="宋体"/>
          <w:color w:val="auto"/>
          <w:szCs w:val="28"/>
        </w:rPr>
        <w:t>相关上级部门</w:t>
      </w:r>
      <w:r>
        <w:rPr>
          <w:rFonts w:hint="eastAsia" w:ascii="宋体" w:hAnsi="宋体"/>
          <w:color w:val="auto"/>
          <w:szCs w:val="28"/>
        </w:rPr>
        <w:t>或项目</w:t>
      </w:r>
      <w:r>
        <w:rPr>
          <w:rFonts w:ascii="宋体" w:hAnsi="宋体"/>
          <w:color w:val="auto"/>
          <w:szCs w:val="28"/>
        </w:rPr>
        <w:t>费用已</w:t>
      </w:r>
      <w:r>
        <w:rPr>
          <w:rFonts w:hint="eastAsia" w:ascii="宋体" w:hAnsi="宋体"/>
          <w:color w:val="auto"/>
          <w:szCs w:val="28"/>
        </w:rPr>
        <w:t>支付完毕后，</w:t>
      </w:r>
      <w:r>
        <w:rPr>
          <w:rFonts w:ascii="宋体" w:hAnsi="宋体"/>
          <w:color w:val="auto"/>
          <w:szCs w:val="28"/>
        </w:rPr>
        <w:t>若甲</w:t>
      </w:r>
      <w:r>
        <w:rPr>
          <w:rFonts w:hint="eastAsia" w:ascii="宋体" w:hAnsi="宋体"/>
          <w:color w:val="auto"/>
          <w:szCs w:val="28"/>
        </w:rPr>
        <w:t>方</w:t>
      </w:r>
      <w:r>
        <w:rPr>
          <w:rFonts w:ascii="宋体" w:hAnsi="宋体"/>
          <w:color w:val="auto"/>
          <w:szCs w:val="28"/>
        </w:rPr>
        <w:t>上级部门要求对项目成果进行修改，乙方</w:t>
      </w:r>
      <w:r>
        <w:rPr>
          <w:rFonts w:hint="eastAsia" w:ascii="宋体" w:hAnsi="宋体"/>
          <w:color w:val="auto"/>
          <w:szCs w:val="28"/>
        </w:rPr>
        <w:t>须</w:t>
      </w:r>
      <w:r>
        <w:rPr>
          <w:rFonts w:ascii="宋体" w:hAnsi="宋体"/>
          <w:color w:val="auto"/>
          <w:szCs w:val="28"/>
        </w:rPr>
        <w:t>按本</w:t>
      </w:r>
      <w:r>
        <w:rPr>
          <w:rFonts w:hint="eastAsia" w:ascii="宋体" w:hAnsi="宋体"/>
          <w:color w:val="auto"/>
          <w:szCs w:val="28"/>
        </w:rPr>
        <w:t>协议的</w:t>
      </w:r>
      <w:r>
        <w:rPr>
          <w:rFonts w:ascii="宋体" w:hAnsi="宋体"/>
          <w:color w:val="auto"/>
          <w:szCs w:val="28"/>
        </w:rPr>
        <w:t>约定</w:t>
      </w:r>
      <w:r>
        <w:rPr>
          <w:rFonts w:hint="eastAsia" w:ascii="宋体" w:hAnsi="宋体"/>
          <w:color w:val="auto"/>
          <w:szCs w:val="28"/>
        </w:rPr>
        <w:t>继续</w:t>
      </w:r>
      <w:r>
        <w:rPr>
          <w:rFonts w:ascii="宋体" w:hAnsi="宋体"/>
          <w:color w:val="auto"/>
          <w:szCs w:val="28"/>
        </w:rPr>
        <w:t>履约</w:t>
      </w:r>
      <w:r>
        <w:rPr>
          <w:rFonts w:hint="eastAsia" w:ascii="宋体" w:hAnsi="宋体"/>
          <w:color w:val="auto"/>
          <w:szCs w:val="28"/>
        </w:rPr>
        <w:t>。若系甲方单方原因，需对方案进行重大修改（重大修改，是指超出项目主题范围外的修改），应另行协商增加咨询费用。</w:t>
      </w:r>
    </w:p>
    <w:p>
      <w:pPr>
        <w:spacing w:line="520" w:lineRule="exact"/>
        <w:ind w:firstLine="560" w:firstLineChars="200"/>
        <w:rPr>
          <w:rFonts w:hint="eastAsia" w:ascii="宋体" w:hAnsi="宋体"/>
          <w:color w:val="auto"/>
          <w:szCs w:val="28"/>
        </w:rPr>
      </w:pPr>
      <w:r>
        <w:rPr>
          <w:rFonts w:hint="eastAsia" w:ascii="宋体" w:hAnsi="宋体"/>
          <w:color w:val="auto"/>
          <w:szCs w:val="28"/>
        </w:rPr>
        <w:t>二．如果甲方对乙方的服务不满意，或乙方对甲方的协作配合不满意，不满意的一方有权终止合同。</w:t>
      </w:r>
    </w:p>
    <w:p>
      <w:pPr>
        <w:spacing w:line="520" w:lineRule="exact"/>
        <w:ind w:firstLine="560" w:firstLineChars="200"/>
        <w:rPr>
          <w:rFonts w:ascii="宋体" w:hAnsi="宋体"/>
          <w:color w:val="auto"/>
          <w:szCs w:val="28"/>
        </w:rPr>
      </w:pPr>
      <w:r>
        <w:rPr>
          <w:rFonts w:hint="eastAsia" w:ascii="宋体" w:hAnsi="宋体"/>
          <w:color w:val="auto"/>
          <w:szCs w:val="28"/>
        </w:rPr>
        <w:t>三．项目总时间以及阶段性工作完成时间的适当调整需经双方书面认可。</w:t>
      </w:r>
    </w:p>
    <w:p>
      <w:pPr>
        <w:spacing w:line="520" w:lineRule="exact"/>
        <w:ind w:firstLine="560" w:firstLineChars="200"/>
        <w:rPr>
          <w:rFonts w:ascii="宋体" w:hAnsi="宋体"/>
          <w:color w:val="auto"/>
          <w:szCs w:val="28"/>
        </w:rPr>
      </w:pPr>
      <w:r>
        <w:rPr>
          <w:rFonts w:hint="eastAsia" w:ascii="宋体" w:hAnsi="宋体"/>
          <w:color w:val="auto"/>
          <w:szCs w:val="28"/>
        </w:rPr>
        <w:t>四.上述项目最终成果（报告）的提交方式为电子版</w:t>
      </w:r>
      <w:r>
        <w:rPr>
          <w:rFonts w:hint="eastAsia" w:ascii="宋体" w:hAnsi="宋体"/>
          <w:color w:val="auto"/>
          <w:szCs w:val="28"/>
          <w:lang w:eastAsia="zh-CN"/>
        </w:rPr>
        <w:t>和纸质版（</w:t>
      </w:r>
      <w:r>
        <w:rPr>
          <w:rFonts w:hint="eastAsia" w:ascii="宋体" w:hAnsi="宋体"/>
          <w:color w:val="auto"/>
          <w:szCs w:val="28"/>
          <w:lang w:val="en-US" w:eastAsia="zh-CN"/>
        </w:rPr>
        <w:t>6份</w:t>
      </w:r>
      <w:r>
        <w:rPr>
          <w:rFonts w:hint="eastAsia" w:ascii="宋体" w:hAnsi="宋体"/>
          <w:color w:val="auto"/>
          <w:szCs w:val="28"/>
          <w:lang w:eastAsia="zh-CN"/>
        </w:rPr>
        <w:t>）</w:t>
      </w:r>
      <w:r>
        <w:rPr>
          <w:rFonts w:hint="eastAsia" w:ascii="宋体" w:hAnsi="宋体"/>
          <w:color w:val="auto"/>
          <w:szCs w:val="28"/>
        </w:rPr>
        <w:t>。</w:t>
      </w:r>
    </w:p>
    <w:p>
      <w:pPr>
        <w:spacing w:line="520" w:lineRule="exact"/>
        <w:ind w:firstLine="560" w:firstLineChars="200"/>
        <w:rPr>
          <w:rFonts w:ascii="宋体" w:hAnsi="宋体"/>
          <w:color w:val="auto"/>
          <w:szCs w:val="28"/>
        </w:rPr>
      </w:pPr>
      <w:r>
        <w:rPr>
          <w:rFonts w:hint="eastAsia" w:ascii="宋体" w:hAnsi="宋体"/>
          <w:color w:val="auto"/>
          <w:szCs w:val="28"/>
        </w:rPr>
        <w:t>五．双方指定以下人员作为本项目的联络人员，负责本协议履行的沟通、联络和信息传递事宜：</w:t>
      </w:r>
    </w:p>
    <w:p>
      <w:pPr>
        <w:spacing w:line="520" w:lineRule="exact"/>
        <w:ind w:firstLine="560" w:firstLineChars="200"/>
        <w:rPr>
          <w:rFonts w:ascii="宋体" w:hAnsi="宋体"/>
          <w:color w:val="auto"/>
          <w:szCs w:val="28"/>
        </w:rPr>
      </w:pPr>
      <w:r>
        <w:rPr>
          <w:rFonts w:ascii="宋体" w:hAnsi="宋体"/>
          <w:color w:val="auto"/>
          <w:szCs w:val="28"/>
        </w:rPr>
        <w:t>甲方</w:t>
      </w:r>
      <w:r>
        <w:rPr>
          <w:rFonts w:hint="eastAsia" w:ascii="宋体" w:hAnsi="宋体"/>
          <w:color w:val="auto"/>
          <w:szCs w:val="28"/>
        </w:rPr>
        <w:t>：</w:t>
      </w:r>
    </w:p>
    <w:p>
      <w:pPr>
        <w:spacing w:line="520" w:lineRule="exact"/>
        <w:ind w:firstLine="560" w:firstLineChars="200"/>
        <w:rPr>
          <w:rFonts w:ascii="宋体" w:hAnsi="宋体"/>
          <w:color w:val="auto"/>
          <w:szCs w:val="28"/>
        </w:rPr>
      </w:pPr>
      <w:r>
        <w:rPr>
          <w:rFonts w:ascii="宋体" w:hAnsi="宋体"/>
          <w:color w:val="auto"/>
          <w:szCs w:val="28"/>
        </w:rPr>
        <w:t>联络人</w:t>
      </w:r>
      <w:r>
        <w:rPr>
          <w:rFonts w:hint="eastAsia" w:ascii="宋体" w:hAnsi="宋体"/>
          <w:color w:val="auto"/>
          <w:szCs w:val="28"/>
        </w:rPr>
        <w:t>：</w:t>
      </w:r>
    </w:p>
    <w:p>
      <w:pPr>
        <w:spacing w:line="520" w:lineRule="exact"/>
        <w:ind w:firstLine="560" w:firstLineChars="200"/>
        <w:rPr>
          <w:rFonts w:ascii="宋体" w:hAnsi="宋体"/>
          <w:color w:val="auto"/>
          <w:szCs w:val="28"/>
        </w:rPr>
      </w:pPr>
      <w:r>
        <w:rPr>
          <w:rFonts w:ascii="宋体" w:hAnsi="宋体"/>
          <w:color w:val="auto"/>
          <w:szCs w:val="28"/>
        </w:rPr>
        <w:t>电子邮箱</w:t>
      </w:r>
      <w:r>
        <w:rPr>
          <w:rFonts w:hint="eastAsia" w:ascii="宋体" w:hAnsi="宋体"/>
          <w:color w:val="auto"/>
          <w:szCs w:val="28"/>
        </w:rPr>
        <w:t>：</w:t>
      </w:r>
    </w:p>
    <w:p>
      <w:pPr>
        <w:spacing w:line="520" w:lineRule="exact"/>
        <w:ind w:firstLine="560" w:firstLineChars="200"/>
        <w:rPr>
          <w:rFonts w:ascii="宋体" w:hAnsi="宋体"/>
          <w:color w:val="auto"/>
          <w:szCs w:val="28"/>
        </w:rPr>
      </w:pPr>
      <w:r>
        <w:rPr>
          <w:rFonts w:ascii="宋体" w:hAnsi="宋体"/>
          <w:color w:val="auto"/>
          <w:szCs w:val="28"/>
        </w:rPr>
        <w:t>手机</w:t>
      </w:r>
      <w:r>
        <w:rPr>
          <w:rFonts w:hint="eastAsia" w:ascii="宋体" w:hAnsi="宋体"/>
          <w:color w:val="auto"/>
          <w:szCs w:val="28"/>
        </w:rPr>
        <w:t>：</w:t>
      </w:r>
    </w:p>
    <w:p>
      <w:pPr>
        <w:spacing w:line="520" w:lineRule="exact"/>
        <w:ind w:firstLine="560" w:firstLineChars="200"/>
        <w:rPr>
          <w:rFonts w:ascii="宋体" w:hAnsi="宋体"/>
          <w:color w:val="auto"/>
          <w:szCs w:val="28"/>
        </w:rPr>
      </w:pPr>
      <w:r>
        <w:rPr>
          <w:rFonts w:ascii="宋体" w:hAnsi="宋体"/>
          <w:color w:val="auto"/>
          <w:szCs w:val="28"/>
        </w:rPr>
        <w:t>地址</w:t>
      </w:r>
      <w:r>
        <w:rPr>
          <w:rFonts w:hint="eastAsia" w:ascii="宋体" w:hAnsi="宋体"/>
          <w:color w:val="auto"/>
          <w:szCs w:val="28"/>
        </w:rPr>
        <w:t>：</w:t>
      </w:r>
    </w:p>
    <w:p>
      <w:pPr>
        <w:spacing w:line="520" w:lineRule="exact"/>
        <w:ind w:firstLine="560" w:firstLineChars="200"/>
        <w:rPr>
          <w:rFonts w:ascii="宋体" w:hAnsi="宋体"/>
          <w:color w:val="auto"/>
          <w:szCs w:val="28"/>
        </w:rPr>
      </w:pPr>
    </w:p>
    <w:p>
      <w:pPr>
        <w:spacing w:line="520" w:lineRule="exact"/>
        <w:ind w:firstLine="560" w:firstLineChars="200"/>
        <w:rPr>
          <w:rFonts w:ascii="宋体" w:hAnsi="宋体"/>
          <w:color w:val="auto"/>
          <w:szCs w:val="28"/>
        </w:rPr>
      </w:pPr>
      <w:r>
        <w:rPr>
          <w:rFonts w:hint="eastAsia" w:ascii="宋体" w:hAnsi="宋体"/>
          <w:color w:val="auto"/>
          <w:szCs w:val="28"/>
        </w:rPr>
        <w:t>乙方：</w:t>
      </w:r>
    </w:p>
    <w:p>
      <w:pPr>
        <w:spacing w:line="520" w:lineRule="exact"/>
        <w:ind w:firstLine="560" w:firstLineChars="200"/>
        <w:rPr>
          <w:rFonts w:ascii="宋体" w:hAnsi="宋体"/>
          <w:color w:val="auto"/>
          <w:szCs w:val="28"/>
        </w:rPr>
      </w:pPr>
      <w:r>
        <w:rPr>
          <w:rFonts w:ascii="宋体" w:hAnsi="宋体"/>
          <w:color w:val="auto"/>
          <w:szCs w:val="28"/>
        </w:rPr>
        <w:t>联络人</w:t>
      </w:r>
      <w:r>
        <w:rPr>
          <w:rFonts w:hint="eastAsia" w:ascii="宋体" w:hAnsi="宋体"/>
          <w:color w:val="auto"/>
          <w:szCs w:val="28"/>
        </w:rPr>
        <w:t>：</w:t>
      </w:r>
    </w:p>
    <w:p>
      <w:pPr>
        <w:spacing w:line="520" w:lineRule="exact"/>
        <w:ind w:firstLine="560" w:firstLineChars="200"/>
        <w:rPr>
          <w:rFonts w:ascii="宋体" w:hAnsi="宋体"/>
          <w:color w:val="auto"/>
          <w:szCs w:val="28"/>
        </w:rPr>
      </w:pPr>
      <w:r>
        <w:rPr>
          <w:rFonts w:ascii="宋体" w:hAnsi="宋体"/>
          <w:color w:val="auto"/>
          <w:szCs w:val="28"/>
        </w:rPr>
        <w:t>电子邮箱</w:t>
      </w:r>
      <w:r>
        <w:rPr>
          <w:rFonts w:hint="eastAsia" w:ascii="宋体" w:hAnsi="宋体"/>
          <w:color w:val="auto"/>
          <w:szCs w:val="28"/>
        </w:rPr>
        <w:t>：</w:t>
      </w:r>
    </w:p>
    <w:p>
      <w:pPr>
        <w:spacing w:line="520" w:lineRule="exact"/>
        <w:ind w:firstLine="560" w:firstLineChars="200"/>
        <w:rPr>
          <w:rFonts w:ascii="宋体" w:hAnsi="宋体"/>
          <w:color w:val="auto"/>
          <w:szCs w:val="28"/>
        </w:rPr>
      </w:pPr>
      <w:r>
        <w:rPr>
          <w:rFonts w:ascii="宋体" w:hAnsi="宋体"/>
          <w:color w:val="auto"/>
          <w:szCs w:val="28"/>
        </w:rPr>
        <w:t>手机</w:t>
      </w:r>
      <w:r>
        <w:rPr>
          <w:rFonts w:hint="eastAsia" w:ascii="宋体" w:hAnsi="宋体"/>
          <w:color w:val="auto"/>
          <w:szCs w:val="28"/>
        </w:rPr>
        <w:t>：</w:t>
      </w:r>
    </w:p>
    <w:p>
      <w:pPr>
        <w:spacing w:line="520" w:lineRule="exact"/>
        <w:ind w:firstLine="560" w:firstLineChars="200"/>
        <w:rPr>
          <w:rFonts w:ascii="宋体" w:hAnsi="宋体"/>
          <w:color w:val="auto"/>
          <w:szCs w:val="28"/>
        </w:rPr>
      </w:pPr>
      <w:r>
        <w:rPr>
          <w:rFonts w:ascii="宋体" w:hAnsi="宋体"/>
          <w:color w:val="auto"/>
          <w:szCs w:val="28"/>
        </w:rPr>
        <w:t>地址</w:t>
      </w:r>
      <w:r>
        <w:rPr>
          <w:rFonts w:hint="eastAsia" w:ascii="宋体" w:hAnsi="宋体"/>
          <w:color w:val="auto"/>
          <w:szCs w:val="28"/>
        </w:rPr>
        <w:t>：</w:t>
      </w:r>
    </w:p>
    <w:p>
      <w:pPr>
        <w:spacing w:line="520" w:lineRule="exact"/>
        <w:ind w:firstLine="562" w:firstLineChars="200"/>
        <w:rPr>
          <w:rFonts w:ascii="宋体" w:hAnsi="宋体"/>
          <w:b/>
          <w:bCs/>
          <w:color w:val="auto"/>
          <w:szCs w:val="28"/>
        </w:rPr>
      </w:pPr>
      <w:r>
        <w:rPr>
          <w:rFonts w:hint="eastAsia" w:ascii="宋体" w:hAnsi="宋体"/>
          <w:b/>
          <w:bCs/>
          <w:color w:val="auto"/>
          <w:szCs w:val="28"/>
        </w:rPr>
        <w:t>第</w:t>
      </w:r>
      <w:r>
        <w:rPr>
          <w:rFonts w:ascii="宋体" w:hAnsi="宋体"/>
          <w:b/>
          <w:bCs/>
          <w:color w:val="auto"/>
          <w:szCs w:val="28"/>
        </w:rPr>
        <w:t>十条</w:t>
      </w:r>
      <w:r>
        <w:rPr>
          <w:rFonts w:hint="eastAsia" w:ascii="宋体" w:hAnsi="宋体"/>
          <w:b/>
          <w:bCs/>
          <w:color w:val="auto"/>
          <w:szCs w:val="28"/>
        </w:rPr>
        <w:t xml:space="preserve">  违约责任</w:t>
      </w:r>
    </w:p>
    <w:p>
      <w:pPr>
        <w:spacing w:line="520" w:lineRule="exact"/>
        <w:ind w:firstLine="560" w:firstLineChars="200"/>
        <w:rPr>
          <w:rFonts w:ascii="宋体" w:hAnsi="宋体"/>
          <w:color w:val="auto"/>
          <w:szCs w:val="28"/>
        </w:rPr>
      </w:pPr>
      <w:r>
        <w:rPr>
          <w:rFonts w:hint="eastAsia" w:ascii="宋体" w:hAnsi="宋体"/>
          <w:color w:val="auto"/>
          <w:szCs w:val="28"/>
        </w:rPr>
        <w:t>一．如果任何一方有其它违反本协议约定的行为，违约方应按照《中华人民共和国合同法》的有关规定，承担违约责任。</w:t>
      </w:r>
    </w:p>
    <w:p>
      <w:pPr>
        <w:spacing w:line="520" w:lineRule="exact"/>
        <w:ind w:firstLine="560" w:firstLineChars="200"/>
        <w:rPr>
          <w:rFonts w:ascii="宋体" w:hAnsi="宋体"/>
          <w:color w:val="auto"/>
          <w:szCs w:val="28"/>
        </w:rPr>
      </w:pPr>
      <w:r>
        <w:rPr>
          <w:rFonts w:hint="eastAsia" w:ascii="宋体" w:hAnsi="宋体"/>
          <w:color w:val="auto"/>
          <w:szCs w:val="28"/>
        </w:rPr>
        <w:t>二．甲乙双方任何一方没有履行义务致使项目不能按时完成或者影响项目完成质量的，另一方有权终止协议；造成损失的，应予以赔偿。</w:t>
      </w:r>
    </w:p>
    <w:p>
      <w:pPr>
        <w:spacing w:line="520" w:lineRule="exact"/>
        <w:ind w:firstLine="568" w:firstLineChars="202"/>
        <w:rPr>
          <w:rFonts w:ascii="宋体" w:hAnsi="宋体"/>
          <w:color w:val="auto"/>
          <w:szCs w:val="28"/>
        </w:rPr>
      </w:pPr>
      <w:r>
        <w:rPr>
          <w:rFonts w:hint="eastAsia" w:ascii="宋体" w:hAnsi="宋体"/>
          <w:b/>
          <w:color w:val="auto"/>
          <w:szCs w:val="28"/>
        </w:rPr>
        <w:t>第十</w:t>
      </w:r>
      <w:r>
        <w:rPr>
          <w:rFonts w:ascii="宋体" w:hAnsi="宋体"/>
          <w:b/>
          <w:color w:val="auto"/>
          <w:szCs w:val="28"/>
        </w:rPr>
        <w:t>一条</w:t>
      </w:r>
      <w:r>
        <w:rPr>
          <w:rFonts w:hint="eastAsia" w:ascii="宋体" w:hAnsi="宋体"/>
          <w:color w:val="auto"/>
          <w:szCs w:val="28"/>
        </w:rPr>
        <w:t xml:space="preserve"> 在本协议的履行过程中发生的争议，由双方友好协商解决，协商不能解决的，双方均可向甲方所在地有管辖权的人民法院提起诉讼。</w:t>
      </w:r>
    </w:p>
    <w:p>
      <w:pPr>
        <w:spacing w:line="520" w:lineRule="exact"/>
        <w:ind w:firstLine="562" w:firstLineChars="200"/>
        <w:rPr>
          <w:rFonts w:ascii="宋体" w:hAnsi="宋体"/>
          <w:color w:val="auto"/>
          <w:szCs w:val="28"/>
        </w:rPr>
      </w:pPr>
      <w:r>
        <w:rPr>
          <w:rFonts w:hint="eastAsia" w:ascii="宋体" w:hAnsi="宋体"/>
          <w:b/>
          <w:color w:val="auto"/>
          <w:szCs w:val="28"/>
        </w:rPr>
        <w:t>第</w:t>
      </w:r>
      <w:r>
        <w:rPr>
          <w:rFonts w:ascii="宋体" w:hAnsi="宋体"/>
          <w:b/>
          <w:color w:val="auto"/>
          <w:szCs w:val="28"/>
        </w:rPr>
        <w:t>十二条</w:t>
      </w:r>
      <w:r>
        <w:rPr>
          <w:rFonts w:hint="eastAsia" w:ascii="宋体" w:hAnsi="宋体"/>
          <w:color w:val="auto"/>
          <w:szCs w:val="28"/>
        </w:rPr>
        <w:t>本协议的未尽事宜，双方本着诚实信用、公平友好的原则共同协商，达成书面补充协议，补充协议是本协议的有效组成部分。补充协议与本协议产生冲突的，以补充协议为准。</w:t>
      </w:r>
    </w:p>
    <w:p>
      <w:pPr>
        <w:spacing w:line="520" w:lineRule="exact"/>
        <w:ind w:firstLine="562" w:firstLineChars="200"/>
        <w:rPr>
          <w:rFonts w:ascii="宋体" w:hAnsi="宋体"/>
          <w:color w:val="auto"/>
          <w:szCs w:val="28"/>
        </w:rPr>
      </w:pPr>
      <w:r>
        <w:rPr>
          <w:rFonts w:hint="eastAsia" w:ascii="宋体" w:hAnsi="宋体"/>
          <w:b/>
          <w:color w:val="auto"/>
          <w:szCs w:val="28"/>
        </w:rPr>
        <w:t>第十</w:t>
      </w:r>
      <w:r>
        <w:rPr>
          <w:rFonts w:ascii="宋体" w:hAnsi="宋体"/>
          <w:b/>
          <w:color w:val="auto"/>
          <w:szCs w:val="28"/>
        </w:rPr>
        <w:t>三条</w:t>
      </w:r>
      <w:r>
        <w:rPr>
          <w:rFonts w:hint="eastAsia" w:ascii="宋体" w:hAnsi="宋体"/>
          <w:color w:val="auto"/>
          <w:szCs w:val="28"/>
        </w:rPr>
        <w:t xml:space="preserve"> 本协议一式肆份，甲乙双方各执贰份。协议自双方签字并盖章之日起生效。</w:t>
      </w:r>
    </w:p>
    <w:p>
      <w:pPr>
        <w:rPr>
          <w:color w:val="auto"/>
        </w:rPr>
      </w:pPr>
      <w:r>
        <w:rPr>
          <w:rFonts w:ascii="宋体" w:hAnsi="宋体"/>
          <w:b/>
          <w:bCs/>
          <w:color w:val="auto"/>
          <w:szCs w:val="28"/>
        </w:rPr>
        <w:br w:type="page"/>
      </w:r>
    </w:p>
    <w:tbl>
      <w:tblPr>
        <w:tblStyle w:val="17"/>
        <w:tblpPr w:leftFromText="180" w:rightFromText="180" w:vertAnchor="page" w:horzAnchor="margin" w:tblpY="2356"/>
        <w:tblW w:w="9672" w:type="dxa"/>
        <w:tblInd w:w="0" w:type="dxa"/>
        <w:tblLayout w:type="fixed"/>
        <w:tblCellMar>
          <w:top w:w="0" w:type="dxa"/>
          <w:left w:w="108" w:type="dxa"/>
          <w:bottom w:w="0" w:type="dxa"/>
          <w:right w:w="108" w:type="dxa"/>
        </w:tblCellMar>
      </w:tblPr>
      <w:tblGrid>
        <w:gridCol w:w="4786"/>
        <w:gridCol w:w="4886"/>
      </w:tblGrid>
      <w:tr>
        <w:tblPrEx>
          <w:tblCellMar>
            <w:top w:w="0" w:type="dxa"/>
            <w:left w:w="108" w:type="dxa"/>
            <w:bottom w:w="0" w:type="dxa"/>
            <w:right w:w="108" w:type="dxa"/>
          </w:tblCellMar>
        </w:tblPrEx>
        <w:trPr>
          <w:trHeight w:val="1695" w:hRule="atLeast"/>
        </w:trPr>
        <w:tc>
          <w:tcPr>
            <w:tcW w:w="4786" w:type="dxa"/>
            <w:tcBorders>
              <w:right w:val="single" w:color="auto" w:sz="4" w:space="0"/>
            </w:tcBorders>
            <w:noWrap/>
          </w:tcPr>
          <w:p>
            <w:pPr>
              <w:pStyle w:val="7"/>
              <w:spacing w:line="600" w:lineRule="exact"/>
              <w:rPr>
                <w:rFonts w:ascii="宋体" w:hAnsi="宋体"/>
                <w:color w:val="auto"/>
                <w:sz w:val="28"/>
                <w:szCs w:val="28"/>
              </w:rPr>
            </w:pPr>
            <w:r>
              <w:rPr>
                <w:rFonts w:hint="eastAsia" w:ascii="宋体" w:hAnsi="宋体"/>
                <w:color w:val="auto"/>
                <w:sz w:val="28"/>
                <w:szCs w:val="28"/>
              </w:rPr>
              <w:t>甲方（盖章）：</w:t>
            </w:r>
          </w:p>
          <w:p>
            <w:pPr>
              <w:pStyle w:val="7"/>
              <w:spacing w:line="600" w:lineRule="exact"/>
              <w:rPr>
                <w:rFonts w:ascii="宋体"/>
                <w:color w:val="auto"/>
                <w:sz w:val="28"/>
                <w:szCs w:val="28"/>
              </w:rPr>
            </w:pPr>
          </w:p>
        </w:tc>
        <w:tc>
          <w:tcPr>
            <w:tcW w:w="4886" w:type="dxa"/>
            <w:tcBorders>
              <w:left w:val="single" w:color="auto" w:sz="4" w:space="0"/>
            </w:tcBorders>
            <w:noWrap/>
          </w:tcPr>
          <w:p>
            <w:pPr>
              <w:pStyle w:val="7"/>
              <w:spacing w:line="600" w:lineRule="exact"/>
              <w:rPr>
                <w:rFonts w:ascii="宋体"/>
                <w:color w:val="auto"/>
                <w:sz w:val="28"/>
                <w:szCs w:val="28"/>
              </w:rPr>
            </w:pPr>
            <w:r>
              <w:rPr>
                <w:rFonts w:hint="eastAsia" w:ascii="宋体" w:hAnsi="宋体"/>
                <w:color w:val="auto"/>
                <w:sz w:val="28"/>
                <w:szCs w:val="28"/>
              </w:rPr>
              <w:t>乙方（盖章）：</w:t>
            </w:r>
          </w:p>
          <w:p>
            <w:pPr>
              <w:pStyle w:val="7"/>
              <w:spacing w:line="600" w:lineRule="exact"/>
              <w:rPr>
                <w:rFonts w:ascii="宋体"/>
                <w:color w:val="auto"/>
                <w:sz w:val="28"/>
                <w:szCs w:val="28"/>
              </w:rPr>
            </w:pPr>
          </w:p>
        </w:tc>
      </w:tr>
      <w:tr>
        <w:tblPrEx>
          <w:tblCellMar>
            <w:top w:w="0" w:type="dxa"/>
            <w:left w:w="108" w:type="dxa"/>
            <w:bottom w:w="0" w:type="dxa"/>
            <w:right w:w="108" w:type="dxa"/>
          </w:tblCellMar>
        </w:tblPrEx>
        <w:trPr>
          <w:trHeight w:val="3258" w:hRule="atLeast"/>
        </w:trPr>
        <w:tc>
          <w:tcPr>
            <w:tcW w:w="4786" w:type="dxa"/>
            <w:tcBorders>
              <w:right w:val="single" w:color="auto" w:sz="4" w:space="0"/>
            </w:tcBorders>
            <w:noWrap/>
          </w:tcPr>
          <w:p>
            <w:pPr>
              <w:pStyle w:val="7"/>
              <w:spacing w:line="600" w:lineRule="exact"/>
              <w:rPr>
                <w:rFonts w:ascii="宋体"/>
                <w:color w:val="auto"/>
                <w:sz w:val="28"/>
                <w:szCs w:val="28"/>
              </w:rPr>
            </w:pPr>
            <w:r>
              <w:rPr>
                <w:rFonts w:hint="eastAsia" w:ascii="宋体" w:hAnsi="宋体"/>
                <w:color w:val="auto"/>
                <w:sz w:val="28"/>
                <w:szCs w:val="28"/>
              </w:rPr>
              <w:t>法人代表或授权代理人</w:t>
            </w:r>
          </w:p>
          <w:p>
            <w:pPr>
              <w:pStyle w:val="7"/>
              <w:spacing w:line="600" w:lineRule="exact"/>
              <w:rPr>
                <w:rFonts w:ascii="宋体"/>
                <w:color w:val="auto"/>
                <w:sz w:val="28"/>
                <w:szCs w:val="28"/>
              </w:rPr>
            </w:pPr>
            <w:r>
              <w:rPr>
                <w:rFonts w:hint="eastAsia" w:ascii="宋体" w:hAnsi="宋体"/>
                <w:color w:val="auto"/>
                <w:sz w:val="28"/>
                <w:szCs w:val="28"/>
              </w:rPr>
              <w:t>（签字）：</w:t>
            </w:r>
          </w:p>
          <w:p>
            <w:pPr>
              <w:pStyle w:val="7"/>
              <w:spacing w:line="600" w:lineRule="exact"/>
              <w:rPr>
                <w:rFonts w:ascii="宋体"/>
                <w:color w:val="auto"/>
                <w:sz w:val="28"/>
                <w:szCs w:val="28"/>
              </w:rPr>
            </w:pPr>
          </w:p>
          <w:p>
            <w:pPr>
              <w:pStyle w:val="7"/>
              <w:spacing w:line="600" w:lineRule="exact"/>
              <w:rPr>
                <w:rFonts w:ascii="宋体"/>
                <w:color w:val="auto"/>
                <w:sz w:val="28"/>
                <w:szCs w:val="28"/>
              </w:rPr>
            </w:pPr>
          </w:p>
          <w:p>
            <w:pPr>
              <w:pStyle w:val="7"/>
              <w:spacing w:line="600" w:lineRule="exact"/>
              <w:rPr>
                <w:rFonts w:ascii="宋体"/>
                <w:color w:val="auto"/>
                <w:sz w:val="28"/>
                <w:szCs w:val="28"/>
              </w:rPr>
            </w:pPr>
            <w:r>
              <w:rPr>
                <w:rFonts w:hint="eastAsia" w:ascii="宋体" w:hAnsi="宋体"/>
                <w:color w:val="auto"/>
                <w:sz w:val="28"/>
                <w:szCs w:val="28"/>
              </w:rPr>
              <w:t>经办人：</w:t>
            </w:r>
          </w:p>
          <w:p>
            <w:pPr>
              <w:pStyle w:val="7"/>
              <w:spacing w:line="600" w:lineRule="exact"/>
              <w:rPr>
                <w:rFonts w:ascii="宋体"/>
                <w:color w:val="auto"/>
                <w:sz w:val="28"/>
                <w:szCs w:val="28"/>
              </w:rPr>
            </w:pPr>
          </w:p>
        </w:tc>
        <w:tc>
          <w:tcPr>
            <w:tcW w:w="4886" w:type="dxa"/>
            <w:tcBorders>
              <w:left w:val="single" w:color="auto" w:sz="4" w:space="0"/>
            </w:tcBorders>
            <w:noWrap/>
          </w:tcPr>
          <w:p>
            <w:pPr>
              <w:pStyle w:val="7"/>
              <w:spacing w:line="600" w:lineRule="exact"/>
              <w:rPr>
                <w:rFonts w:ascii="宋体"/>
                <w:color w:val="auto"/>
                <w:sz w:val="28"/>
                <w:szCs w:val="28"/>
              </w:rPr>
            </w:pPr>
            <w:r>
              <w:rPr>
                <w:rFonts w:hint="eastAsia" w:ascii="宋体" w:hAnsi="宋体"/>
                <w:color w:val="auto"/>
                <w:sz w:val="28"/>
                <w:szCs w:val="28"/>
              </w:rPr>
              <w:t>法人代表或授权代理人</w:t>
            </w:r>
          </w:p>
          <w:p>
            <w:pPr>
              <w:pStyle w:val="7"/>
              <w:spacing w:line="600" w:lineRule="exact"/>
              <w:rPr>
                <w:rFonts w:ascii="宋体"/>
                <w:color w:val="auto"/>
                <w:sz w:val="28"/>
                <w:szCs w:val="28"/>
              </w:rPr>
            </w:pPr>
            <w:r>
              <w:rPr>
                <w:rFonts w:hint="eastAsia" w:ascii="宋体" w:hAnsi="宋体"/>
                <w:color w:val="auto"/>
                <w:sz w:val="28"/>
                <w:szCs w:val="28"/>
              </w:rPr>
              <w:t>（签字）：</w:t>
            </w:r>
          </w:p>
          <w:p>
            <w:pPr>
              <w:pStyle w:val="7"/>
              <w:spacing w:line="600" w:lineRule="exact"/>
              <w:rPr>
                <w:rFonts w:ascii="宋体"/>
                <w:color w:val="auto"/>
                <w:sz w:val="28"/>
                <w:szCs w:val="28"/>
              </w:rPr>
            </w:pPr>
          </w:p>
          <w:p>
            <w:pPr>
              <w:pStyle w:val="7"/>
              <w:spacing w:line="600" w:lineRule="exact"/>
              <w:rPr>
                <w:rFonts w:ascii="宋体"/>
                <w:color w:val="auto"/>
                <w:sz w:val="28"/>
                <w:szCs w:val="28"/>
              </w:rPr>
            </w:pPr>
          </w:p>
          <w:p>
            <w:pPr>
              <w:pStyle w:val="7"/>
              <w:spacing w:line="600" w:lineRule="exact"/>
              <w:rPr>
                <w:rFonts w:ascii="宋体"/>
                <w:color w:val="auto"/>
                <w:sz w:val="28"/>
                <w:szCs w:val="28"/>
              </w:rPr>
            </w:pPr>
            <w:r>
              <w:rPr>
                <w:rFonts w:hint="eastAsia" w:ascii="宋体" w:hAnsi="宋体"/>
                <w:color w:val="auto"/>
                <w:sz w:val="28"/>
                <w:szCs w:val="28"/>
              </w:rPr>
              <w:t>经办人：</w:t>
            </w:r>
          </w:p>
        </w:tc>
      </w:tr>
      <w:tr>
        <w:tblPrEx>
          <w:tblCellMar>
            <w:top w:w="0" w:type="dxa"/>
            <w:left w:w="108" w:type="dxa"/>
            <w:bottom w:w="0" w:type="dxa"/>
            <w:right w:w="108" w:type="dxa"/>
          </w:tblCellMar>
        </w:tblPrEx>
        <w:trPr>
          <w:trHeight w:val="925" w:hRule="atLeast"/>
        </w:trPr>
        <w:tc>
          <w:tcPr>
            <w:tcW w:w="4786" w:type="dxa"/>
            <w:tcBorders>
              <w:right w:val="single" w:color="auto" w:sz="4" w:space="0"/>
            </w:tcBorders>
            <w:noWrap/>
            <w:vAlign w:val="center"/>
          </w:tcPr>
          <w:p>
            <w:pPr>
              <w:pStyle w:val="7"/>
              <w:spacing w:line="600" w:lineRule="exact"/>
              <w:rPr>
                <w:rFonts w:ascii="宋体" w:hAnsi="宋体"/>
                <w:color w:val="auto"/>
                <w:sz w:val="28"/>
                <w:szCs w:val="28"/>
              </w:rPr>
            </w:pPr>
            <w:r>
              <w:rPr>
                <w:rFonts w:hint="eastAsia" w:ascii="宋体" w:hAnsi="宋体"/>
                <w:color w:val="auto"/>
                <w:sz w:val="28"/>
                <w:szCs w:val="28"/>
              </w:rPr>
              <w:t>纳税人识别号：</w:t>
            </w:r>
          </w:p>
          <w:p>
            <w:pPr>
              <w:pStyle w:val="7"/>
              <w:spacing w:line="600" w:lineRule="exact"/>
              <w:rPr>
                <w:rFonts w:ascii="宋体"/>
                <w:color w:val="auto"/>
                <w:sz w:val="28"/>
                <w:szCs w:val="28"/>
              </w:rPr>
            </w:pPr>
            <w:r>
              <w:rPr>
                <w:rFonts w:hint="eastAsia" w:ascii="宋体" w:hAnsi="宋体"/>
                <w:color w:val="auto"/>
                <w:sz w:val="28"/>
                <w:szCs w:val="28"/>
              </w:rPr>
              <w:t>电话：</w:t>
            </w:r>
          </w:p>
        </w:tc>
        <w:tc>
          <w:tcPr>
            <w:tcW w:w="4886" w:type="dxa"/>
            <w:tcBorders>
              <w:left w:val="single" w:color="auto" w:sz="4" w:space="0"/>
            </w:tcBorders>
            <w:noWrap/>
            <w:vAlign w:val="center"/>
          </w:tcPr>
          <w:p>
            <w:pPr>
              <w:pStyle w:val="7"/>
              <w:spacing w:line="600" w:lineRule="exact"/>
              <w:rPr>
                <w:rFonts w:ascii="宋体" w:hAnsi="宋体"/>
                <w:color w:val="auto"/>
                <w:sz w:val="28"/>
                <w:szCs w:val="28"/>
              </w:rPr>
            </w:pPr>
            <w:r>
              <w:rPr>
                <w:rFonts w:hint="eastAsia" w:ascii="宋体" w:hAnsi="宋体"/>
                <w:color w:val="auto"/>
                <w:sz w:val="28"/>
                <w:szCs w:val="28"/>
              </w:rPr>
              <w:t>纳税人识别号：</w:t>
            </w:r>
          </w:p>
          <w:p>
            <w:pPr>
              <w:pStyle w:val="7"/>
              <w:spacing w:line="600" w:lineRule="exact"/>
              <w:rPr>
                <w:rFonts w:ascii="宋体"/>
                <w:color w:val="auto"/>
                <w:sz w:val="28"/>
                <w:szCs w:val="28"/>
              </w:rPr>
            </w:pPr>
            <w:r>
              <w:rPr>
                <w:rFonts w:hint="eastAsia" w:ascii="宋体" w:hAnsi="宋体"/>
                <w:color w:val="auto"/>
                <w:sz w:val="28"/>
                <w:szCs w:val="28"/>
              </w:rPr>
              <w:t>电话：</w:t>
            </w:r>
          </w:p>
        </w:tc>
      </w:tr>
      <w:tr>
        <w:tblPrEx>
          <w:tblCellMar>
            <w:top w:w="0" w:type="dxa"/>
            <w:left w:w="108" w:type="dxa"/>
            <w:bottom w:w="0" w:type="dxa"/>
            <w:right w:w="108" w:type="dxa"/>
          </w:tblCellMar>
        </w:tblPrEx>
        <w:trPr>
          <w:trHeight w:val="2247" w:hRule="atLeast"/>
        </w:trPr>
        <w:tc>
          <w:tcPr>
            <w:tcW w:w="4786" w:type="dxa"/>
            <w:tcBorders>
              <w:right w:val="single" w:color="auto" w:sz="4" w:space="0"/>
            </w:tcBorders>
            <w:noWrap/>
          </w:tcPr>
          <w:p>
            <w:pPr>
              <w:pStyle w:val="7"/>
              <w:spacing w:line="600" w:lineRule="exact"/>
              <w:rPr>
                <w:rFonts w:ascii="宋体"/>
                <w:color w:val="auto"/>
                <w:sz w:val="28"/>
                <w:szCs w:val="28"/>
              </w:rPr>
            </w:pPr>
            <w:r>
              <w:rPr>
                <w:rFonts w:hint="eastAsia" w:ascii="宋体" w:hAnsi="宋体"/>
                <w:color w:val="auto"/>
                <w:sz w:val="28"/>
                <w:szCs w:val="28"/>
              </w:rPr>
              <w:t>地址：</w:t>
            </w:r>
          </w:p>
          <w:p>
            <w:pPr>
              <w:pStyle w:val="7"/>
              <w:spacing w:line="600" w:lineRule="exact"/>
              <w:rPr>
                <w:rFonts w:ascii="宋体"/>
                <w:color w:val="auto"/>
                <w:sz w:val="28"/>
                <w:szCs w:val="28"/>
              </w:rPr>
            </w:pPr>
            <w:r>
              <w:rPr>
                <w:rFonts w:hint="eastAsia" w:ascii="宋体" w:hAnsi="宋体"/>
                <w:color w:val="auto"/>
                <w:sz w:val="28"/>
                <w:szCs w:val="28"/>
              </w:rPr>
              <w:t>邮编：</w:t>
            </w:r>
          </w:p>
        </w:tc>
        <w:tc>
          <w:tcPr>
            <w:tcW w:w="4886" w:type="dxa"/>
            <w:tcBorders>
              <w:left w:val="single" w:color="auto" w:sz="4" w:space="0"/>
            </w:tcBorders>
            <w:noWrap/>
          </w:tcPr>
          <w:p>
            <w:pPr>
              <w:pStyle w:val="7"/>
              <w:spacing w:line="600" w:lineRule="exact"/>
              <w:rPr>
                <w:rFonts w:ascii="宋体"/>
                <w:color w:val="auto"/>
                <w:sz w:val="28"/>
                <w:szCs w:val="28"/>
              </w:rPr>
            </w:pPr>
            <w:r>
              <w:rPr>
                <w:rFonts w:hint="eastAsia" w:ascii="宋体" w:hAnsi="宋体"/>
                <w:color w:val="auto"/>
                <w:sz w:val="28"/>
                <w:szCs w:val="28"/>
              </w:rPr>
              <w:t>地址：</w:t>
            </w:r>
          </w:p>
          <w:p>
            <w:pPr>
              <w:pStyle w:val="7"/>
              <w:spacing w:line="600" w:lineRule="exact"/>
              <w:rPr>
                <w:rFonts w:ascii="宋体"/>
                <w:color w:val="auto"/>
                <w:sz w:val="28"/>
                <w:szCs w:val="28"/>
              </w:rPr>
            </w:pPr>
            <w:r>
              <w:rPr>
                <w:rFonts w:hint="eastAsia" w:ascii="宋体" w:hAnsi="宋体"/>
                <w:color w:val="auto"/>
                <w:sz w:val="28"/>
                <w:szCs w:val="28"/>
              </w:rPr>
              <w:t>邮编：</w:t>
            </w:r>
          </w:p>
        </w:tc>
      </w:tr>
      <w:tr>
        <w:tblPrEx>
          <w:tblCellMar>
            <w:top w:w="0" w:type="dxa"/>
            <w:left w:w="108" w:type="dxa"/>
            <w:bottom w:w="0" w:type="dxa"/>
            <w:right w:w="108" w:type="dxa"/>
          </w:tblCellMar>
        </w:tblPrEx>
        <w:trPr>
          <w:trHeight w:val="1966" w:hRule="atLeast"/>
        </w:trPr>
        <w:tc>
          <w:tcPr>
            <w:tcW w:w="4786" w:type="dxa"/>
            <w:tcBorders>
              <w:right w:val="single" w:color="auto" w:sz="4" w:space="0"/>
            </w:tcBorders>
            <w:noWrap/>
          </w:tcPr>
          <w:p>
            <w:pPr>
              <w:pStyle w:val="7"/>
              <w:spacing w:line="600" w:lineRule="exact"/>
              <w:rPr>
                <w:rFonts w:ascii="宋体"/>
                <w:color w:val="auto"/>
                <w:sz w:val="28"/>
                <w:szCs w:val="28"/>
              </w:rPr>
            </w:pPr>
          </w:p>
          <w:p>
            <w:pPr>
              <w:pStyle w:val="7"/>
              <w:spacing w:line="600" w:lineRule="exact"/>
              <w:ind w:left="0" w:firstLine="840" w:firstLineChars="300"/>
              <w:rPr>
                <w:rFonts w:ascii="宋体"/>
                <w:color w:val="auto"/>
                <w:sz w:val="28"/>
                <w:szCs w:val="28"/>
              </w:rPr>
            </w:pPr>
            <w:r>
              <w:rPr>
                <w:rFonts w:hint="eastAsia" w:ascii="宋体" w:hAnsi="宋体"/>
                <w:color w:val="auto"/>
                <w:sz w:val="28"/>
                <w:szCs w:val="28"/>
              </w:rPr>
              <w:t>开户行：</w:t>
            </w:r>
          </w:p>
          <w:p>
            <w:pPr>
              <w:ind w:firstLine="840" w:firstLineChars="300"/>
              <w:rPr>
                <w:rFonts w:ascii="宋体"/>
                <w:color w:val="auto"/>
                <w:szCs w:val="28"/>
              </w:rPr>
            </w:pPr>
            <w:r>
              <w:rPr>
                <w:rFonts w:hint="eastAsia" w:ascii="宋体" w:hAnsi="宋体"/>
                <w:color w:val="auto"/>
                <w:szCs w:val="28"/>
              </w:rPr>
              <w:t>账号：</w:t>
            </w:r>
          </w:p>
          <w:p>
            <w:pPr>
              <w:rPr>
                <w:rFonts w:ascii="宋体"/>
                <w:color w:val="auto"/>
                <w:szCs w:val="28"/>
              </w:rPr>
            </w:pPr>
          </w:p>
        </w:tc>
        <w:tc>
          <w:tcPr>
            <w:tcW w:w="4886" w:type="dxa"/>
            <w:tcBorders>
              <w:left w:val="single" w:color="auto" w:sz="4" w:space="0"/>
            </w:tcBorders>
            <w:noWrap/>
          </w:tcPr>
          <w:p>
            <w:pPr>
              <w:pStyle w:val="7"/>
              <w:spacing w:line="600" w:lineRule="exact"/>
              <w:rPr>
                <w:rFonts w:ascii="宋体"/>
                <w:color w:val="auto"/>
                <w:sz w:val="28"/>
                <w:szCs w:val="28"/>
              </w:rPr>
            </w:pPr>
          </w:p>
          <w:p>
            <w:pPr>
              <w:pStyle w:val="7"/>
              <w:spacing w:line="600" w:lineRule="exact"/>
              <w:ind w:left="0" w:firstLine="840" w:firstLineChars="300"/>
              <w:rPr>
                <w:rFonts w:ascii="宋体"/>
                <w:color w:val="auto"/>
                <w:sz w:val="28"/>
                <w:szCs w:val="28"/>
              </w:rPr>
            </w:pPr>
            <w:r>
              <w:rPr>
                <w:rFonts w:hint="eastAsia" w:ascii="宋体" w:hAnsi="宋体"/>
                <w:color w:val="auto"/>
                <w:sz w:val="28"/>
                <w:szCs w:val="28"/>
              </w:rPr>
              <w:t>开户行：</w:t>
            </w:r>
          </w:p>
          <w:p>
            <w:pPr>
              <w:ind w:firstLine="840" w:firstLineChars="300"/>
              <w:rPr>
                <w:rFonts w:ascii="宋体"/>
                <w:color w:val="auto"/>
                <w:szCs w:val="28"/>
              </w:rPr>
            </w:pPr>
            <w:r>
              <w:rPr>
                <w:rFonts w:hint="eastAsia" w:ascii="宋体" w:hAnsi="宋体"/>
                <w:color w:val="auto"/>
                <w:szCs w:val="28"/>
              </w:rPr>
              <w:t>账号：</w:t>
            </w:r>
          </w:p>
          <w:p>
            <w:pPr>
              <w:pStyle w:val="7"/>
              <w:spacing w:line="600" w:lineRule="exact"/>
              <w:rPr>
                <w:rFonts w:ascii="宋体"/>
                <w:color w:val="auto"/>
                <w:sz w:val="28"/>
                <w:szCs w:val="28"/>
              </w:rPr>
            </w:pPr>
          </w:p>
        </w:tc>
      </w:tr>
      <w:tr>
        <w:tblPrEx>
          <w:tblCellMar>
            <w:top w:w="0" w:type="dxa"/>
            <w:left w:w="108" w:type="dxa"/>
            <w:bottom w:w="0" w:type="dxa"/>
            <w:right w:w="108" w:type="dxa"/>
          </w:tblCellMar>
        </w:tblPrEx>
        <w:trPr>
          <w:trHeight w:val="545" w:hRule="atLeast"/>
        </w:trPr>
        <w:tc>
          <w:tcPr>
            <w:tcW w:w="4786" w:type="dxa"/>
            <w:tcBorders>
              <w:right w:val="single" w:color="auto" w:sz="4" w:space="0"/>
            </w:tcBorders>
            <w:noWrap/>
          </w:tcPr>
          <w:p>
            <w:pPr>
              <w:pStyle w:val="7"/>
              <w:spacing w:line="600" w:lineRule="exact"/>
              <w:ind w:firstLine="1400" w:firstLineChars="500"/>
              <w:rPr>
                <w:rFonts w:ascii="宋体"/>
                <w:color w:val="auto"/>
                <w:sz w:val="28"/>
                <w:szCs w:val="28"/>
              </w:rPr>
            </w:pPr>
            <w:r>
              <w:rPr>
                <w:rFonts w:hint="eastAsia" w:ascii="宋体" w:hAnsi="宋体"/>
                <w:color w:val="auto"/>
                <w:sz w:val="28"/>
                <w:szCs w:val="28"/>
              </w:rPr>
              <w:t>年    月    日</w:t>
            </w:r>
          </w:p>
        </w:tc>
        <w:tc>
          <w:tcPr>
            <w:tcW w:w="4886" w:type="dxa"/>
            <w:tcBorders>
              <w:left w:val="single" w:color="auto" w:sz="4" w:space="0"/>
            </w:tcBorders>
            <w:noWrap/>
          </w:tcPr>
          <w:p>
            <w:pPr>
              <w:pStyle w:val="7"/>
              <w:spacing w:line="600" w:lineRule="exact"/>
              <w:ind w:firstLine="1540" w:firstLineChars="550"/>
              <w:rPr>
                <w:rFonts w:ascii="宋体"/>
                <w:color w:val="auto"/>
                <w:sz w:val="28"/>
                <w:szCs w:val="28"/>
              </w:rPr>
            </w:pPr>
            <w:r>
              <w:rPr>
                <w:rFonts w:hint="eastAsia" w:ascii="宋体" w:hAnsi="宋体"/>
                <w:color w:val="auto"/>
                <w:sz w:val="28"/>
                <w:szCs w:val="28"/>
              </w:rPr>
              <w:t>年    月    日</w:t>
            </w:r>
          </w:p>
        </w:tc>
      </w:tr>
    </w:tbl>
    <w:p>
      <w:pPr>
        <w:spacing w:before="14" w:line="240" w:lineRule="exact"/>
        <w:rPr>
          <w:rFonts w:ascii="宋体" w:hAnsi="宋体" w:cs="宋体"/>
          <w:color w:val="auto"/>
          <w:sz w:val="24"/>
          <w:szCs w:val="24"/>
        </w:rPr>
      </w:pPr>
      <w:r>
        <w:rPr>
          <w:rFonts w:hint="eastAsia" w:cs="宋体"/>
          <w:b/>
          <w:color w:val="auto"/>
          <w:sz w:val="24"/>
          <w:szCs w:val="24"/>
        </w:rPr>
        <w:br w:type="page"/>
      </w:r>
    </w:p>
    <w:p>
      <w:pPr>
        <w:pStyle w:val="16"/>
        <w:ind w:firstLine="0"/>
        <w:rPr>
          <w:rFonts w:cs="宋体"/>
          <w:color w:val="auto"/>
          <w:szCs w:val="24"/>
        </w:rPr>
      </w:pPr>
      <w:r>
        <w:rPr>
          <w:rFonts w:hint="eastAsia" w:cs="宋体"/>
          <w:color w:val="auto"/>
          <w:szCs w:val="24"/>
        </w:rPr>
        <w:t>附件：</w:t>
      </w:r>
    </w:p>
    <w:p>
      <w:pPr>
        <w:spacing w:line="360" w:lineRule="auto"/>
        <w:jc w:val="center"/>
        <w:rPr>
          <w:b/>
          <w:bCs/>
          <w:color w:val="auto"/>
          <w:sz w:val="32"/>
          <w:szCs w:val="32"/>
        </w:rPr>
      </w:pPr>
      <w:r>
        <w:rPr>
          <w:rFonts w:hint="eastAsia"/>
          <w:b/>
          <w:bCs/>
          <w:color w:val="auto"/>
          <w:sz w:val="32"/>
          <w:szCs w:val="32"/>
        </w:rPr>
        <w:t>合作保密协议</w:t>
      </w:r>
    </w:p>
    <w:p>
      <w:pPr>
        <w:spacing w:line="360" w:lineRule="auto"/>
        <w:rPr>
          <w:color w:val="auto"/>
          <w:sz w:val="24"/>
          <w:szCs w:val="24"/>
        </w:rPr>
      </w:pPr>
    </w:p>
    <w:p>
      <w:pPr>
        <w:spacing w:line="360" w:lineRule="auto"/>
        <w:rPr>
          <w:color w:val="auto"/>
          <w:sz w:val="24"/>
          <w:szCs w:val="24"/>
        </w:rPr>
      </w:pPr>
      <w:r>
        <w:rPr>
          <w:rFonts w:hint="eastAsia"/>
          <w:color w:val="auto"/>
          <w:sz w:val="24"/>
          <w:szCs w:val="24"/>
        </w:rPr>
        <w:t xml:space="preserve">委托人（甲方）：重庆市计量质量检测研究院    </w:t>
      </w:r>
    </w:p>
    <w:p>
      <w:pPr>
        <w:spacing w:line="360" w:lineRule="auto"/>
        <w:rPr>
          <w:color w:val="auto"/>
          <w:sz w:val="24"/>
          <w:szCs w:val="24"/>
        </w:rPr>
      </w:pPr>
      <w:r>
        <w:rPr>
          <w:rFonts w:hint="eastAsia"/>
          <w:color w:val="auto"/>
          <w:sz w:val="24"/>
          <w:szCs w:val="24"/>
        </w:rPr>
        <w:t xml:space="preserve">咨询人（乙方）：                               </w:t>
      </w:r>
    </w:p>
    <w:p>
      <w:pPr>
        <w:spacing w:line="360" w:lineRule="auto"/>
        <w:rPr>
          <w:color w:val="auto"/>
          <w:sz w:val="24"/>
          <w:szCs w:val="24"/>
        </w:rPr>
      </w:pPr>
    </w:p>
    <w:p>
      <w:pPr>
        <w:spacing w:line="360" w:lineRule="auto"/>
        <w:rPr>
          <w:color w:val="auto"/>
          <w:sz w:val="24"/>
          <w:szCs w:val="24"/>
        </w:rPr>
      </w:pPr>
      <w:r>
        <w:rPr>
          <w:rFonts w:hint="eastAsia"/>
          <w:color w:val="auto"/>
          <w:sz w:val="24"/>
          <w:szCs w:val="24"/>
        </w:rPr>
        <w:t xml:space="preserve">鉴于: </w:t>
      </w:r>
    </w:p>
    <w:p>
      <w:pPr>
        <w:pStyle w:val="22"/>
        <w:numPr>
          <w:ilvl w:val="0"/>
          <w:numId w:val="3"/>
        </w:numPr>
        <w:spacing w:line="360" w:lineRule="auto"/>
        <w:ind w:left="480" w:hanging="480" w:hangingChars="200"/>
        <w:rPr>
          <w:color w:val="auto"/>
          <w:sz w:val="24"/>
          <w:szCs w:val="24"/>
        </w:rPr>
      </w:pPr>
      <w:r>
        <w:rPr>
          <w:rFonts w:hint="eastAsia"/>
          <w:color w:val="auto"/>
          <w:sz w:val="24"/>
          <w:szCs w:val="24"/>
        </w:rPr>
        <w:t xml:space="preserve">乙方作为咨询服务项目（下称“项目”）合作单位，为推动项目顺利进行，甲方可能会向乙方披露一些专有机密的信息（“保密信息”），乙方将对该等保密信息按照本协议的规定加以保密和使用。 </w:t>
      </w:r>
    </w:p>
    <w:p>
      <w:pPr>
        <w:pStyle w:val="22"/>
        <w:numPr>
          <w:ilvl w:val="0"/>
          <w:numId w:val="3"/>
        </w:numPr>
        <w:spacing w:line="360" w:lineRule="auto"/>
        <w:ind w:left="480" w:hanging="480" w:hangingChars="200"/>
        <w:rPr>
          <w:color w:val="auto"/>
          <w:sz w:val="24"/>
          <w:szCs w:val="24"/>
        </w:rPr>
      </w:pPr>
      <w:r>
        <w:rPr>
          <w:rFonts w:hint="eastAsia"/>
          <w:color w:val="auto"/>
          <w:sz w:val="24"/>
          <w:szCs w:val="24"/>
        </w:rPr>
        <w:t xml:space="preserve">为明确甲方拟和乙方保守商业机密的责任与义务，双方经友好协商，签订本协议，以资共同遵守。 </w:t>
      </w:r>
    </w:p>
    <w:p>
      <w:pPr>
        <w:pStyle w:val="22"/>
        <w:numPr>
          <w:ilvl w:val="0"/>
          <w:numId w:val="4"/>
        </w:numPr>
        <w:spacing w:line="360" w:lineRule="auto"/>
        <w:ind w:left="480" w:hanging="480" w:hangingChars="200"/>
        <w:rPr>
          <w:color w:val="auto"/>
          <w:sz w:val="24"/>
          <w:szCs w:val="24"/>
        </w:rPr>
      </w:pPr>
      <w:r>
        <w:rPr>
          <w:rFonts w:hint="eastAsia"/>
          <w:color w:val="auto"/>
          <w:sz w:val="24"/>
          <w:szCs w:val="24"/>
        </w:rPr>
        <w:t xml:space="preserve">保密信息 </w:t>
      </w:r>
    </w:p>
    <w:p>
      <w:pPr>
        <w:pStyle w:val="22"/>
        <w:numPr>
          <w:ilvl w:val="0"/>
          <w:numId w:val="5"/>
        </w:numPr>
        <w:spacing w:line="360" w:lineRule="auto"/>
        <w:ind w:left="480" w:hanging="480" w:hangingChars="200"/>
        <w:rPr>
          <w:color w:val="auto"/>
          <w:sz w:val="24"/>
          <w:szCs w:val="24"/>
        </w:rPr>
      </w:pPr>
      <w:r>
        <w:rPr>
          <w:rFonts w:hint="eastAsia"/>
          <w:color w:val="auto"/>
          <w:sz w:val="24"/>
          <w:szCs w:val="24"/>
        </w:rPr>
        <w:t xml:space="preserve">保密信息指甲方以口头、书面或其他任何方式向乙方披露的、与项目相关的、涉及甲方、其关联公司和/或其客户业务、产品和技术等任何信息，包括但不限于任何业务、商业或技术信息和资料，不管这些信息或资料采用何种媒介作为载体。保密信息包括但不限于： </w:t>
      </w:r>
    </w:p>
    <w:p>
      <w:pPr>
        <w:pStyle w:val="22"/>
        <w:numPr>
          <w:ilvl w:val="1"/>
          <w:numId w:val="5"/>
        </w:numPr>
        <w:spacing w:line="360" w:lineRule="auto"/>
        <w:ind w:left="480" w:hanging="480" w:hangingChars="200"/>
        <w:rPr>
          <w:color w:val="auto"/>
          <w:sz w:val="24"/>
          <w:szCs w:val="24"/>
        </w:rPr>
      </w:pPr>
      <w:r>
        <w:rPr>
          <w:rFonts w:hint="eastAsia"/>
          <w:color w:val="auto"/>
          <w:sz w:val="24"/>
          <w:szCs w:val="24"/>
        </w:rPr>
        <w:t>甲方在商谈合作及具体合作过程中所涉及到的在业务往来中被明确要求保密、以默示方式表明应予保密以及被合理认为应属于保密信息 的数据、资料和信息，包括所有的（不限于口述）记载于各种介质或载体上的数据、资料和信息以及以电话、口头等其他形式传递的信息。</w:t>
      </w:r>
    </w:p>
    <w:p>
      <w:pPr>
        <w:pStyle w:val="22"/>
        <w:numPr>
          <w:ilvl w:val="1"/>
          <w:numId w:val="5"/>
        </w:numPr>
        <w:spacing w:line="360" w:lineRule="auto"/>
        <w:ind w:left="480" w:hanging="480" w:hangingChars="200"/>
        <w:rPr>
          <w:color w:val="auto"/>
          <w:sz w:val="24"/>
          <w:szCs w:val="24"/>
        </w:rPr>
      </w:pPr>
      <w:r>
        <w:rPr>
          <w:rFonts w:hint="eastAsia"/>
          <w:color w:val="auto"/>
          <w:sz w:val="24"/>
          <w:szCs w:val="24"/>
        </w:rPr>
        <w:t>甲方拟签署或已签署的任何协议的存在及协议的条款（包括但不限于商务合作模式、合作内容、规模、价格及费率、结算方式）等信息。</w:t>
      </w:r>
    </w:p>
    <w:p>
      <w:pPr>
        <w:pStyle w:val="22"/>
        <w:numPr>
          <w:ilvl w:val="1"/>
          <w:numId w:val="5"/>
        </w:numPr>
        <w:spacing w:line="360" w:lineRule="auto"/>
        <w:ind w:left="480" w:hanging="480" w:hangingChars="200"/>
        <w:rPr>
          <w:color w:val="auto"/>
          <w:sz w:val="24"/>
          <w:szCs w:val="24"/>
        </w:rPr>
      </w:pPr>
      <w:r>
        <w:rPr>
          <w:rFonts w:hint="eastAsia"/>
          <w:color w:val="auto"/>
          <w:sz w:val="24"/>
          <w:szCs w:val="24"/>
        </w:rPr>
        <w:t xml:space="preserve">属于甲方（包括其关联方）商业秘密的信息（包括但不限于账户信息、 系统信息、客户信息、业务经营信息等）。 </w:t>
      </w:r>
    </w:p>
    <w:p>
      <w:pPr>
        <w:pStyle w:val="22"/>
        <w:numPr>
          <w:ilvl w:val="1"/>
          <w:numId w:val="5"/>
        </w:numPr>
        <w:spacing w:line="360" w:lineRule="auto"/>
        <w:ind w:left="480" w:hanging="480" w:hangingChars="200"/>
        <w:rPr>
          <w:color w:val="auto"/>
          <w:sz w:val="24"/>
          <w:szCs w:val="24"/>
        </w:rPr>
      </w:pPr>
      <w:r>
        <w:rPr>
          <w:rFonts w:hint="eastAsia"/>
          <w:color w:val="auto"/>
          <w:sz w:val="24"/>
          <w:szCs w:val="24"/>
        </w:rPr>
        <w:t xml:space="preserve">属于甲方（包括其关联方）的技术方案、工程设计、工艺方法、工艺 流程、技术指标、研究开发记录、技术报告、检测报告、图纸、光盘、技术文档、电子文档、数据库、财务数据、运营信息、第三方参考数据、客户名单、行销计划、定价政策、财务资料、政府文件等。 </w:t>
      </w:r>
    </w:p>
    <w:p>
      <w:pPr>
        <w:pStyle w:val="22"/>
        <w:numPr>
          <w:ilvl w:val="1"/>
          <w:numId w:val="5"/>
        </w:numPr>
        <w:spacing w:line="360" w:lineRule="auto"/>
        <w:ind w:left="480" w:hanging="480" w:hangingChars="200"/>
        <w:rPr>
          <w:color w:val="auto"/>
          <w:sz w:val="24"/>
          <w:szCs w:val="24"/>
        </w:rPr>
      </w:pPr>
      <w:r>
        <w:rPr>
          <w:rFonts w:hint="eastAsia"/>
          <w:color w:val="auto"/>
          <w:sz w:val="24"/>
          <w:szCs w:val="24"/>
        </w:rPr>
        <w:t xml:space="preserve">其他被合理认为需要保密的数据、资料和信息。 </w:t>
      </w:r>
    </w:p>
    <w:p>
      <w:pPr>
        <w:pStyle w:val="22"/>
        <w:numPr>
          <w:ilvl w:val="1"/>
          <w:numId w:val="5"/>
        </w:numPr>
        <w:spacing w:line="360" w:lineRule="auto"/>
        <w:ind w:left="480" w:hanging="480" w:hangingChars="200"/>
        <w:rPr>
          <w:color w:val="auto"/>
          <w:sz w:val="24"/>
          <w:szCs w:val="24"/>
        </w:rPr>
      </w:pPr>
      <w:r>
        <w:rPr>
          <w:rFonts w:hint="eastAsia"/>
          <w:color w:val="auto"/>
          <w:sz w:val="24"/>
          <w:szCs w:val="24"/>
        </w:rPr>
        <w:t xml:space="preserve">甲方通过检查或分析上述相关信息所获得的任何信息。 </w:t>
      </w:r>
    </w:p>
    <w:p>
      <w:pPr>
        <w:pStyle w:val="22"/>
        <w:numPr>
          <w:ilvl w:val="0"/>
          <w:numId w:val="4"/>
        </w:numPr>
        <w:spacing w:line="360" w:lineRule="auto"/>
        <w:ind w:left="480" w:hanging="480" w:hangingChars="200"/>
        <w:rPr>
          <w:color w:val="auto"/>
          <w:sz w:val="24"/>
          <w:szCs w:val="24"/>
        </w:rPr>
      </w:pPr>
      <w:r>
        <w:rPr>
          <w:rFonts w:hint="eastAsia"/>
          <w:color w:val="auto"/>
          <w:sz w:val="24"/>
          <w:szCs w:val="24"/>
        </w:rPr>
        <w:t xml:space="preserve">保密义务 </w:t>
      </w:r>
    </w:p>
    <w:p>
      <w:pPr>
        <w:pStyle w:val="22"/>
        <w:numPr>
          <w:ilvl w:val="0"/>
          <w:numId w:val="6"/>
        </w:numPr>
        <w:spacing w:line="360" w:lineRule="auto"/>
        <w:ind w:left="480" w:hanging="480" w:hangingChars="200"/>
        <w:rPr>
          <w:color w:val="auto"/>
          <w:sz w:val="24"/>
          <w:szCs w:val="24"/>
        </w:rPr>
      </w:pPr>
      <w:r>
        <w:rPr>
          <w:rFonts w:hint="eastAsia"/>
          <w:color w:val="auto"/>
          <w:sz w:val="24"/>
          <w:szCs w:val="24"/>
        </w:rPr>
        <w:t xml:space="preserve">乙方应在保密期间对保密信息严格保密，未经甲方事先书面授权，不得向任何第三方披露、泄露、公开及传播。 </w:t>
      </w:r>
    </w:p>
    <w:p>
      <w:pPr>
        <w:pStyle w:val="22"/>
        <w:numPr>
          <w:ilvl w:val="0"/>
          <w:numId w:val="6"/>
        </w:numPr>
        <w:spacing w:line="360" w:lineRule="auto"/>
        <w:ind w:left="480" w:hanging="480" w:hangingChars="200"/>
        <w:rPr>
          <w:color w:val="auto"/>
          <w:sz w:val="24"/>
          <w:szCs w:val="24"/>
        </w:rPr>
      </w:pPr>
      <w:r>
        <w:rPr>
          <w:rFonts w:hint="eastAsia"/>
          <w:color w:val="auto"/>
          <w:sz w:val="24"/>
          <w:szCs w:val="24"/>
        </w:rPr>
        <w:t xml:space="preserve">乙方丢失保密信息的，应立即书面通知甲方，以便双方积极采取补救措施。 乙方承担一切因其丢失导致保密信息公开而给甲方造成的损失并按本协议 约定向甲方承担违约及赔偿责任。 </w:t>
      </w:r>
    </w:p>
    <w:p>
      <w:pPr>
        <w:pStyle w:val="22"/>
        <w:numPr>
          <w:ilvl w:val="0"/>
          <w:numId w:val="6"/>
        </w:numPr>
        <w:spacing w:line="360" w:lineRule="auto"/>
        <w:ind w:left="480" w:hanging="480" w:hangingChars="200"/>
        <w:rPr>
          <w:color w:val="auto"/>
          <w:sz w:val="24"/>
          <w:szCs w:val="24"/>
        </w:rPr>
      </w:pPr>
      <w:r>
        <w:rPr>
          <w:rFonts w:hint="eastAsia"/>
          <w:color w:val="auto"/>
          <w:sz w:val="24"/>
          <w:szCs w:val="24"/>
        </w:rPr>
        <w:t xml:space="preserve">乙方应采取合理的保密措施将保密信息控制在绝密及安全状态，该等措施应至少等同于乙方保护其自有保密信息而采用的措施。 </w:t>
      </w:r>
    </w:p>
    <w:p>
      <w:pPr>
        <w:pStyle w:val="22"/>
        <w:numPr>
          <w:ilvl w:val="0"/>
          <w:numId w:val="4"/>
        </w:numPr>
        <w:spacing w:line="360" w:lineRule="auto"/>
        <w:ind w:left="480" w:hanging="480" w:hangingChars="200"/>
        <w:rPr>
          <w:color w:val="auto"/>
          <w:sz w:val="24"/>
          <w:szCs w:val="24"/>
        </w:rPr>
      </w:pPr>
      <w:r>
        <w:rPr>
          <w:rFonts w:hint="eastAsia"/>
          <w:color w:val="auto"/>
          <w:sz w:val="24"/>
          <w:szCs w:val="24"/>
        </w:rPr>
        <w:t xml:space="preserve">保密信息的使用 </w:t>
      </w:r>
    </w:p>
    <w:p>
      <w:pPr>
        <w:pStyle w:val="22"/>
        <w:numPr>
          <w:ilvl w:val="0"/>
          <w:numId w:val="7"/>
        </w:numPr>
        <w:spacing w:line="360" w:lineRule="auto"/>
        <w:ind w:left="480" w:hanging="480" w:hangingChars="200"/>
        <w:rPr>
          <w:color w:val="auto"/>
          <w:sz w:val="24"/>
          <w:szCs w:val="24"/>
        </w:rPr>
      </w:pPr>
      <w:r>
        <w:rPr>
          <w:rFonts w:hint="eastAsia"/>
          <w:color w:val="auto"/>
          <w:sz w:val="24"/>
          <w:szCs w:val="24"/>
        </w:rPr>
        <w:t xml:space="preserve">乙方获得的保密信息只能用于本项目，未经甲方书面同意，不得作其他用途。 </w:t>
      </w:r>
    </w:p>
    <w:p>
      <w:pPr>
        <w:pStyle w:val="22"/>
        <w:numPr>
          <w:ilvl w:val="0"/>
          <w:numId w:val="7"/>
        </w:numPr>
        <w:spacing w:line="360" w:lineRule="auto"/>
        <w:ind w:left="480" w:hanging="480" w:hangingChars="200"/>
        <w:rPr>
          <w:color w:val="auto"/>
          <w:sz w:val="24"/>
          <w:szCs w:val="24"/>
        </w:rPr>
      </w:pPr>
      <w:r>
        <w:rPr>
          <w:rFonts w:hint="eastAsia"/>
          <w:color w:val="auto"/>
          <w:sz w:val="24"/>
          <w:szCs w:val="24"/>
        </w:rPr>
        <w:t xml:space="preserve">在得到甲方事先同意的情况下，乙方可以基于本协议及项目进行必须之目的，向有必要知晓保密信息的本公司员工披露该等信息。乙方一经向该等员工披露上述保密信息，应立即向该等员工告知其在本协议项下承担的保密义务，并采取一切必要的措施以保证上述保密信息在该等员工在职期间及离职后均获得符合本协议规定的安全保存及保护且不被泄露，否则乙方应按本协议约定向甲方承担违约责任。 </w:t>
      </w:r>
    </w:p>
    <w:p>
      <w:pPr>
        <w:pStyle w:val="22"/>
        <w:numPr>
          <w:ilvl w:val="0"/>
          <w:numId w:val="7"/>
        </w:numPr>
        <w:spacing w:line="360" w:lineRule="auto"/>
        <w:ind w:left="480" w:hanging="480" w:hangingChars="200"/>
        <w:rPr>
          <w:color w:val="auto"/>
          <w:sz w:val="24"/>
          <w:szCs w:val="24"/>
        </w:rPr>
      </w:pPr>
      <w:r>
        <w:rPr>
          <w:rFonts w:hint="eastAsia"/>
          <w:color w:val="auto"/>
          <w:sz w:val="24"/>
          <w:szCs w:val="24"/>
        </w:rPr>
        <w:t xml:space="preserve">如果乙方意图与第三方签署任何协议，因而不得不向该第三方披露保密信息，则乙方应事先得到甲方的书面同意。甲方书面同意的情况下，乙方应要求该第三方与甲方签署保密协议。否则乙方应按本协议约定向甲方承担违约责任。 </w:t>
      </w:r>
    </w:p>
    <w:p>
      <w:pPr>
        <w:pStyle w:val="22"/>
        <w:numPr>
          <w:ilvl w:val="0"/>
          <w:numId w:val="7"/>
        </w:numPr>
        <w:spacing w:line="360" w:lineRule="auto"/>
        <w:ind w:left="480" w:hanging="480" w:hangingChars="200"/>
        <w:rPr>
          <w:color w:val="auto"/>
          <w:sz w:val="24"/>
          <w:szCs w:val="24"/>
        </w:rPr>
      </w:pPr>
      <w:r>
        <w:rPr>
          <w:rFonts w:hint="eastAsia"/>
          <w:color w:val="auto"/>
          <w:sz w:val="24"/>
          <w:szCs w:val="24"/>
        </w:rPr>
        <w:t xml:space="preserve">若法律、法规、监管机构或其他司法或行政命令要求乙方披露任何保密信息，乙方可依法披露，但乙方应事先将披露范围、对象书面告知甲方且应提供相应证明文件，并采取一切有效措施防止保密信息的扩散。 </w:t>
      </w:r>
    </w:p>
    <w:p>
      <w:pPr>
        <w:pStyle w:val="22"/>
        <w:numPr>
          <w:ilvl w:val="0"/>
          <w:numId w:val="4"/>
        </w:numPr>
        <w:spacing w:line="360" w:lineRule="auto"/>
        <w:ind w:left="480" w:hanging="480" w:hangingChars="200"/>
        <w:rPr>
          <w:color w:val="auto"/>
          <w:sz w:val="24"/>
          <w:szCs w:val="24"/>
        </w:rPr>
      </w:pPr>
      <w:r>
        <w:rPr>
          <w:rFonts w:hint="eastAsia"/>
          <w:color w:val="auto"/>
          <w:sz w:val="24"/>
          <w:szCs w:val="24"/>
        </w:rPr>
        <w:t xml:space="preserve">权利保留 </w:t>
      </w:r>
    </w:p>
    <w:p>
      <w:pPr>
        <w:pStyle w:val="22"/>
        <w:numPr>
          <w:ilvl w:val="0"/>
          <w:numId w:val="8"/>
        </w:numPr>
        <w:spacing w:line="360" w:lineRule="auto"/>
        <w:ind w:left="480" w:hanging="480" w:hangingChars="200"/>
        <w:rPr>
          <w:color w:val="auto"/>
          <w:sz w:val="24"/>
          <w:szCs w:val="24"/>
        </w:rPr>
      </w:pPr>
      <w:r>
        <w:rPr>
          <w:rFonts w:hint="eastAsia"/>
          <w:color w:val="auto"/>
          <w:sz w:val="24"/>
          <w:szCs w:val="24"/>
        </w:rPr>
        <w:t xml:space="preserve">甲方不保证保密信息的准确性与完整性，也不承担保密信息所造成的任何损害或损失。 </w:t>
      </w:r>
    </w:p>
    <w:p>
      <w:pPr>
        <w:pStyle w:val="22"/>
        <w:numPr>
          <w:ilvl w:val="0"/>
          <w:numId w:val="8"/>
        </w:numPr>
        <w:spacing w:line="360" w:lineRule="auto"/>
        <w:ind w:left="480" w:hanging="480" w:hangingChars="200"/>
        <w:rPr>
          <w:color w:val="auto"/>
          <w:sz w:val="24"/>
          <w:szCs w:val="24"/>
        </w:rPr>
      </w:pPr>
      <w:r>
        <w:rPr>
          <w:rFonts w:hint="eastAsia"/>
          <w:color w:val="auto"/>
          <w:sz w:val="24"/>
          <w:szCs w:val="24"/>
        </w:rPr>
        <w:t>乙方不享有保密信息涉及的任何专利权或著作权等知识产权，也不享有保密信息的任何其它权利。乙方仅为完成项目目的而可以合理使用保密信息。</w:t>
      </w:r>
    </w:p>
    <w:p>
      <w:pPr>
        <w:pStyle w:val="22"/>
        <w:numPr>
          <w:ilvl w:val="0"/>
          <w:numId w:val="4"/>
        </w:numPr>
        <w:spacing w:line="360" w:lineRule="auto"/>
        <w:ind w:left="480" w:hanging="480" w:hangingChars="200"/>
        <w:rPr>
          <w:color w:val="auto"/>
          <w:sz w:val="24"/>
          <w:szCs w:val="24"/>
        </w:rPr>
      </w:pPr>
      <w:r>
        <w:rPr>
          <w:rFonts w:hint="eastAsia"/>
          <w:color w:val="auto"/>
          <w:sz w:val="24"/>
          <w:szCs w:val="24"/>
        </w:rPr>
        <w:t xml:space="preserve">权利让予 </w:t>
      </w:r>
    </w:p>
    <w:p>
      <w:pPr>
        <w:pStyle w:val="22"/>
        <w:numPr>
          <w:ilvl w:val="0"/>
          <w:numId w:val="9"/>
        </w:numPr>
        <w:spacing w:line="360" w:lineRule="auto"/>
        <w:ind w:left="480" w:hanging="480" w:hangingChars="200"/>
        <w:rPr>
          <w:color w:val="auto"/>
          <w:sz w:val="24"/>
          <w:szCs w:val="24"/>
        </w:rPr>
      </w:pPr>
      <w:r>
        <w:rPr>
          <w:rFonts w:hint="eastAsia"/>
          <w:color w:val="auto"/>
          <w:sz w:val="24"/>
          <w:szCs w:val="24"/>
        </w:rPr>
        <w:t xml:space="preserve">未经另一方事先书面同意，任何一方不得全部或部分转让本协议项下的任何权利或义务。 </w:t>
      </w:r>
    </w:p>
    <w:p>
      <w:pPr>
        <w:pStyle w:val="22"/>
        <w:numPr>
          <w:ilvl w:val="0"/>
          <w:numId w:val="9"/>
        </w:numPr>
        <w:spacing w:line="360" w:lineRule="auto"/>
        <w:ind w:left="480" w:hanging="480" w:hangingChars="200"/>
        <w:rPr>
          <w:color w:val="auto"/>
          <w:sz w:val="24"/>
          <w:szCs w:val="24"/>
        </w:rPr>
      </w:pPr>
      <w:r>
        <w:rPr>
          <w:rFonts w:hint="eastAsia"/>
          <w:color w:val="auto"/>
          <w:sz w:val="24"/>
          <w:szCs w:val="24"/>
        </w:rPr>
        <w:t xml:space="preserve">若乙方与第三方合并、被第三方兼并或被第三方直接或间接控制，乙方不得向该第三方披露任何的保密信息；乙方应立即将保密信息资料归还甲方， 或根据甲方的要求予以销毁。 </w:t>
      </w:r>
    </w:p>
    <w:p>
      <w:pPr>
        <w:pStyle w:val="22"/>
        <w:numPr>
          <w:ilvl w:val="0"/>
          <w:numId w:val="4"/>
        </w:numPr>
        <w:spacing w:line="360" w:lineRule="auto"/>
        <w:ind w:left="480" w:hanging="480" w:hangingChars="200"/>
        <w:rPr>
          <w:color w:val="auto"/>
          <w:sz w:val="24"/>
          <w:szCs w:val="24"/>
        </w:rPr>
      </w:pPr>
      <w:r>
        <w:rPr>
          <w:rFonts w:hint="eastAsia"/>
          <w:color w:val="auto"/>
          <w:sz w:val="24"/>
          <w:szCs w:val="24"/>
        </w:rPr>
        <w:t xml:space="preserve">保密信息的归还与销毁 </w:t>
      </w:r>
    </w:p>
    <w:p>
      <w:pPr>
        <w:spacing w:line="360" w:lineRule="auto"/>
        <w:ind w:firstLine="480" w:firstLineChars="200"/>
        <w:rPr>
          <w:color w:val="auto"/>
          <w:sz w:val="24"/>
          <w:szCs w:val="24"/>
        </w:rPr>
      </w:pPr>
      <w:r>
        <w:rPr>
          <w:rFonts w:hint="eastAsia"/>
          <w:color w:val="auto"/>
          <w:sz w:val="24"/>
          <w:szCs w:val="24"/>
        </w:rPr>
        <w:t xml:space="preserve">无论任何原因导致项目终止，乙方应于项目终止后或收到甲方书面要求后立即归还或销毁其占有的一切涉及保密信息的原始资料，及一切与保密信息有关的复印件、记录、备忘录、摘要或其他文件。 </w:t>
      </w:r>
    </w:p>
    <w:p>
      <w:pPr>
        <w:pStyle w:val="22"/>
        <w:numPr>
          <w:ilvl w:val="0"/>
          <w:numId w:val="4"/>
        </w:numPr>
        <w:spacing w:line="360" w:lineRule="auto"/>
        <w:ind w:left="480" w:hanging="480" w:hangingChars="200"/>
        <w:rPr>
          <w:color w:val="auto"/>
          <w:sz w:val="24"/>
          <w:szCs w:val="24"/>
        </w:rPr>
      </w:pPr>
      <w:r>
        <w:rPr>
          <w:rFonts w:hint="eastAsia"/>
          <w:color w:val="auto"/>
          <w:sz w:val="24"/>
          <w:szCs w:val="24"/>
        </w:rPr>
        <w:t xml:space="preserve">违约责任及损害赔偿 </w:t>
      </w:r>
    </w:p>
    <w:p>
      <w:pPr>
        <w:pStyle w:val="22"/>
        <w:numPr>
          <w:ilvl w:val="0"/>
          <w:numId w:val="10"/>
        </w:numPr>
        <w:spacing w:line="360" w:lineRule="auto"/>
        <w:ind w:left="480" w:hanging="480" w:hangingChars="200"/>
        <w:rPr>
          <w:color w:val="auto"/>
          <w:sz w:val="24"/>
          <w:szCs w:val="24"/>
        </w:rPr>
      </w:pPr>
      <w:r>
        <w:rPr>
          <w:rFonts w:hint="eastAsia"/>
          <w:color w:val="auto"/>
          <w:sz w:val="24"/>
          <w:szCs w:val="24"/>
        </w:rPr>
        <w:t xml:space="preserve">乙方违反本协议项下保密义务的，应向甲方支付不低于合同金额5%的违约金同时还应赔偿甲方因此遭受的全部损失以及为实现该等权利付出的合理费用（包括但不限于律师费、诉讼费、调查取证费、评估费、拍卖费、公 证费、保全费、差旅费等）。双方理解并同意一方未能或延迟行使本协议规 定的任何权利、权力或特权不应视为该方放弃行使，且任何单一或部分权利、权力或特权的行使不应排除权利、权力或特权的任何其他或进一步的行使或本协议项下任何权利、权力或特权的行使。 </w:t>
      </w:r>
    </w:p>
    <w:p>
      <w:pPr>
        <w:pStyle w:val="22"/>
        <w:numPr>
          <w:ilvl w:val="0"/>
          <w:numId w:val="10"/>
        </w:numPr>
        <w:spacing w:line="360" w:lineRule="auto"/>
        <w:ind w:left="480" w:hanging="480" w:hangingChars="200"/>
        <w:rPr>
          <w:color w:val="auto"/>
          <w:sz w:val="24"/>
          <w:szCs w:val="24"/>
        </w:rPr>
      </w:pPr>
      <w:r>
        <w:rPr>
          <w:rFonts w:hint="eastAsia"/>
          <w:color w:val="auto"/>
          <w:sz w:val="24"/>
          <w:szCs w:val="24"/>
        </w:rPr>
        <w:t>乙方违反本协议约定的，甲方有权单方解除或终止与乙方签订的项目业务合同并不负任何违约、赔偿或补偿责任。具体合同的解除或终止不影响乙方应承担的保密义务。</w:t>
      </w:r>
    </w:p>
    <w:p>
      <w:pPr>
        <w:pStyle w:val="22"/>
        <w:numPr>
          <w:ilvl w:val="0"/>
          <w:numId w:val="10"/>
        </w:numPr>
        <w:spacing w:line="360" w:lineRule="auto"/>
        <w:ind w:left="480" w:hanging="480" w:hangingChars="200"/>
        <w:rPr>
          <w:color w:val="auto"/>
          <w:sz w:val="24"/>
          <w:szCs w:val="24"/>
        </w:rPr>
      </w:pPr>
      <w:r>
        <w:rPr>
          <w:rFonts w:hint="eastAsia"/>
          <w:color w:val="auto"/>
          <w:sz w:val="24"/>
          <w:szCs w:val="24"/>
        </w:rPr>
        <w:t xml:space="preserve">在本协议履行过程中，对于乙方出现的违约行为，除按本协议约定追究违约及赔偿等责任外，甲方保留按甲方有关供应商管理的制度和规定采取诸如暂停投标、将乙方纳入合作供应商黑名单等措施权利。 </w:t>
      </w:r>
    </w:p>
    <w:p>
      <w:pPr>
        <w:pStyle w:val="22"/>
        <w:numPr>
          <w:ilvl w:val="0"/>
          <w:numId w:val="4"/>
        </w:numPr>
        <w:spacing w:line="360" w:lineRule="auto"/>
        <w:ind w:left="480" w:hanging="480" w:hangingChars="200"/>
        <w:rPr>
          <w:color w:val="auto"/>
          <w:sz w:val="24"/>
          <w:szCs w:val="24"/>
        </w:rPr>
      </w:pPr>
      <w:r>
        <w:rPr>
          <w:rFonts w:hint="eastAsia"/>
          <w:color w:val="auto"/>
          <w:sz w:val="24"/>
          <w:szCs w:val="24"/>
        </w:rPr>
        <w:t xml:space="preserve"> 法律适用及其争议解决 </w:t>
      </w:r>
    </w:p>
    <w:p>
      <w:pPr>
        <w:pStyle w:val="22"/>
        <w:numPr>
          <w:ilvl w:val="0"/>
          <w:numId w:val="11"/>
        </w:numPr>
        <w:spacing w:line="360" w:lineRule="auto"/>
        <w:ind w:left="480" w:hanging="480" w:hangingChars="200"/>
        <w:rPr>
          <w:color w:val="auto"/>
          <w:sz w:val="24"/>
          <w:szCs w:val="24"/>
        </w:rPr>
      </w:pPr>
      <w:r>
        <w:rPr>
          <w:rFonts w:hint="eastAsia"/>
          <w:color w:val="auto"/>
          <w:sz w:val="24"/>
          <w:szCs w:val="24"/>
        </w:rPr>
        <w:t xml:space="preserve">本协议的签订、解释、执行及争议解决等，均适用中国（不含港、澳、台 地区）法律。 </w:t>
      </w:r>
    </w:p>
    <w:p>
      <w:pPr>
        <w:pStyle w:val="22"/>
        <w:numPr>
          <w:ilvl w:val="0"/>
          <w:numId w:val="11"/>
        </w:numPr>
        <w:spacing w:line="360" w:lineRule="auto"/>
        <w:ind w:left="480" w:hanging="480" w:hangingChars="200"/>
        <w:rPr>
          <w:color w:val="auto"/>
          <w:sz w:val="24"/>
          <w:szCs w:val="24"/>
        </w:rPr>
      </w:pPr>
      <w:r>
        <w:rPr>
          <w:rFonts w:hint="eastAsia"/>
          <w:color w:val="auto"/>
          <w:sz w:val="24"/>
          <w:szCs w:val="24"/>
        </w:rPr>
        <w:t xml:space="preserve">因本协议的签订、解释、履行等发生的任何争议或纠纷，双方应友好协商解决。如协商无法解决，应向甲方注册地有管辖权的人民法院提起诉讼。 </w:t>
      </w:r>
    </w:p>
    <w:p>
      <w:pPr>
        <w:pStyle w:val="22"/>
        <w:numPr>
          <w:ilvl w:val="0"/>
          <w:numId w:val="4"/>
        </w:numPr>
        <w:spacing w:line="360" w:lineRule="auto"/>
        <w:ind w:left="480" w:hanging="480" w:hangingChars="200"/>
        <w:rPr>
          <w:color w:val="auto"/>
          <w:sz w:val="24"/>
          <w:szCs w:val="24"/>
        </w:rPr>
      </w:pPr>
      <w:r>
        <w:rPr>
          <w:rFonts w:hint="eastAsia"/>
          <w:color w:val="auto"/>
          <w:sz w:val="24"/>
          <w:szCs w:val="24"/>
        </w:rPr>
        <w:t xml:space="preserve">保密期限 </w:t>
      </w:r>
    </w:p>
    <w:p>
      <w:pPr>
        <w:spacing w:line="360" w:lineRule="auto"/>
        <w:ind w:firstLine="480" w:firstLineChars="200"/>
        <w:rPr>
          <w:color w:val="auto"/>
          <w:sz w:val="24"/>
          <w:szCs w:val="24"/>
        </w:rPr>
      </w:pPr>
      <w:r>
        <w:rPr>
          <w:rFonts w:hint="eastAsia"/>
          <w:color w:val="auto"/>
          <w:sz w:val="24"/>
          <w:szCs w:val="24"/>
        </w:rPr>
        <w:t xml:space="preserve">自本协议签订之日或乙方实际接收或接触甲方保密资料之日至甲方明确书面通知解除保密义务或保密资料被依法公开并为公众所知悉之日止。 </w:t>
      </w:r>
    </w:p>
    <w:p>
      <w:pPr>
        <w:pStyle w:val="22"/>
        <w:numPr>
          <w:ilvl w:val="0"/>
          <w:numId w:val="4"/>
        </w:numPr>
        <w:spacing w:line="360" w:lineRule="auto"/>
        <w:ind w:left="480" w:hanging="480" w:hangingChars="200"/>
        <w:rPr>
          <w:color w:val="auto"/>
          <w:sz w:val="24"/>
          <w:szCs w:val="24"/>
        </w:rPr>
      </w:pPr>
      <w:r>
        <w:rPr>
          <w:rFonts w:hint="eastAsia"/>
          <w:color w:val="auto"/>
          <w:sz w:val="24"/>
          <w:szCs w:val="24"/>
        </w:rPr>
        <w:t xml:space="preserve">协议生效及份数 </w:t>
      </w:r>
    </w:p>
    <w:p>
      <w:pPr>
        <w:pStyle w:val="22"/>
        <w:numPr>
          <w:ilvl w:val="0"/>
          <w:numId w:val="12"/>
        </w:numPr>
        <w:spacing w:line="360" w:lineRule="auto"/>
        <w:ind w:left="480" w:hanging="480" w:hangingChars="200"/>
        <w:rPr>
          <w:color w:val="auto"/>
          <w:sz w:val="24"/>
          <w:szCs w:val="24"/>
        </w:rPr>
      </w:pPr>
      <w:r>
        <w:rPr>
          <w:rFonts w:hint="eastAsia"/>
          <w:color w:val="auto"/>
          <w:sz w:val="24"/>
          <w:szCs w:val="24"/>
        </w:rPr>
        <w:t xml:space="preserve">本协议自双方加盖公司公章之日起生效。 </w:t>
      </w:r>
    </w:p>
    <w:p>
      <w:pPr>
        <w:pStyle w:val="22"/>
        <w:numPr>
          <w:ilvl w:val="0"/>
          <w:numId w:val="12"/>
        </w:numPr>
        <w:spacing w:line="360" w:lineRule="auto"/>
        <w:ind w:left="480" w:hanging="480" w:hangingChars="200"/>
        <w:rPr>
          <w:color w:val="auto"/>
          <w:sz w:val="24"/>
          <w:szCs w:val="24"/>
        </w:rPr>
      </w:pPr>
      <w:r>
        <w:rPr>
          <w:rFonts w:hint="eastAsia"/>
          <w:color w:val="auto"/>
          <w:sz w:val="24"/>
          <w:szCs w:val="24"/>
        </w:rPr>
        <w:t>本协议一式肆份，双方各执贰份，具有同等法律效力。</w:t>
      </w:r>
    </w:p>
    <w:p>
      <w:pPr>
        <w:spacing w:line="360" w:lineRule="auto"/>
        <w:rPr>
          <w:color w:val="auto"/>
          <w:sz w:val="24"/>
          <w:szCs w:val="24"/>
        </w:rPr>
      </w:pPr>
    </w:p>
    <w:p>
      <w:pPr>
        <w:spacing w:line="360" w:lineRule="auto"/>
        <w:rPr>
          <w:color w:val="auto"/>
          <w:sz w:val="24"/>
          <w:szCs w:val="24"/>
        </w:rPr>
      </w:pPr>
      <w:r>
        <w:rPr>
          <w:rFonts w:hint="eastAsia"/>
          <w:color w:val="auto"/>
          <w:sz w:val="24"/>
          <w:szCs w:val="24"/>
        </w:rPr>
        <w:t xml:space="preserve">双方已责成其各自妥当授权的代表于上文首次载明的日期签署了本协议，以昭信守。 </w:t>
      </w:r>
    </w:p>
    <w:p>
      <w:pPr>
        <w:spacing w:line="360" w:lineRule="auto"/>
        <w:rPr>
          <w:color w:val="auto"/>
          <w:sz w:val="24"/>
          <w:szCs w:val="24"/>
        </w:rPr>
      </w:pPr>
    </w:p>
    <w:p>
      <w:pPr>
        <w:snapToGrid w:val="0"/>
        <w:spacing w:line="360" w:lineRule="auto"/>
        <w:rPr>
          <w:color w:val="auto"/>
          <w:sz w:val="24"/>
          <w:szCs w:val="24"/>
        </w:rPr>
      </w:pPr>
      <w:r>
        <w:rPr>
          <w:rFonts w:hint="eastAsia"/>
          <w:color w:val="auto"/>
          <w:sz w:val="24"/>
          <w:szCs w:val="24"/>
        </w:rPr>
        <w:t>委托人：</w:t>
      </w:r>
      <w:r>
        <w:rPr>
          <w:rFonts w:hint="eastAsia"/>
          <w:color w:val="auto"/>
          <w:sz w:val="24"/>
          <w:szCs w:val="24"/>
          <w:u w:val="single"/>
        </w:rPr>
        <w:t>（单位全称）（盖章）</w:t>
      </w:r>
      <w:r>
        <w:rPr>
          <w:rFonts w:hint="eastAsia"/>
          <w:color w:val="auto"/>
          <w:sz w:val="24"/>
          <w:szCs w:val="24"/>
        </w:rPr>
        <w:t>咨询人：</w:t>
      </w:r>
      <w:r>
        <w:rPr>
          <w:rFonts w:hint="eastAsia"/>
          <w:color w:val="auto"/>
          <w:sz w:val="24"/>
          <w:szCs w:val="24"/>
          <w:u w:val="single"/>
        </w:rPr>
        <w:t xml:space="preserve">  （单位全称）（盖章）</w:t>
      </w:r>
    </w:p>
    <w:p>
      <w:pPr>
        <w:snapToGrid w:val="0"/>
        <w:spacing w:line="360" w:lineRule="auto"/>
        <w:rPr>
          <w:color w:val="auto"/>
          <w:sz w:val="24"/>
          <w:szCs w:val="24"/>
        </w:rPr>
      </w:pPr>
      <w:r>
        <w:rPr>
          <w:rFonts w:hint="eastAsia"/>
          <w:color w:val="auto"/>
          <w:sz w:val="24"/>
          <w:szCs w:val="24"/>
        </w:rPr>
        <w:t>法定代表人                       法定代表人</w:t>
      </w:r>
    </w:p>
    <w:p>
      <w:pPr>
        <w:snapToGrid w:val="0"/>
        <w:spacing w:line="360" w:lineRule="auto"/>
        <w:rPr>
          <w:color w:val="auto"/>
          <w:sz w:val="24"/>
          <w:szCs w:val="24"/>
        </w:rPr>
      </w:pPr>
      <w:r>
        <w:rPr>
          <w:rFonts w:hint="eastAsia"/>
          <w:color w:val="auto"/>
          <w:sz w:val="24"/>
          <w:szCs w:val="24"/>
        </w:rPr>
        <w:t>或 其授权的代理人：</w:t>
      </w:r>
      <w:r>
        <w:rPr>
          <w:rFonts w:hint="eastAsia"/>
          <w:color w:val="auto"/>
          <w:sz w:val="24"/>
          <w:szCs w:val="24"/>
          <w:u w:val="single"/>
        </w:rPr>
        <w:t>（职务）</w:t>
      </w:r>
      <w:r>
        <w:rPr>
          <w:rFonts w:hint="eastAsia"/>
          <w:color w:val="auto"/>
          <w:sz w:val="24"/>
          <w:szCs w:val="24"/>
        </w:rPr>
        <w:t xml:space="preserve">       或其授权的代理人：</w:t>
      </w:r>
      <w:r>
        <w:rPr>
          <w:rFonts w:hint="eastAsia"/>
          <w:color w:val="auto"/>
          <w:sz w:val="24"/>
          <w:szCs w:val="24"/>
          <w:u w:val="single"/>
        </w:rPr>
        <w:t xml:space="preserve">           （职务）</w:t>
      </w:r>
    </w:p>
    <w:p>
      <w:pPr>
        <w:snapToGrid w:val="0"/>
        <w:spacing w:line="360" w:lineRule="auto"/>
        <w:ind w:firstLine="2160" w:firstLineChars="900"/>
        <w:rPr>
          <w:color w:val="auto"/>
          <w:sz w:val="24"/>
          <w:szCs w:val="24"/>
          <w:u w:val="single"/>
        </w:rPr>
      </w:pPr>
      <w:r>
        <w:rPr>
          <w:rFonts w:hint="eastAsia"/>
          <w:color w:val="auto"/>
          <w:sz w:val="24"/>
          <w:szCs w:val="24"/>
          <w:u w:val="single"/>
        </w:rPr>
        <w:t>（姓名）         （姓名）</w:t>
      </w:r>
    </w:p>
    <w:p>
      <w:pPr>
        <w:snapToGrid w:val="0"/>
        <w:spacing w:line="360" w:lineRule="auto"/>
        <w:rPr>
          <w:color w:val="auto"/>
          <w:sz w:val="24"/>
          <w:szCs w:val="24"/>
        </w:rPr>
      </w:pPr>
    </w:p>
    <w:p>
      <w:pPr>
        <w:snapToGrid w:val="0"/>
        <w:spacing w:line="360" w:lineRule="auto"/>
        <w:rPr>
          <w:color w:val="auto"/>
          <w:sz w:val="24"/>
          <w:szCs w:val="24"/>
        </w:rPr>
      </w:pPr>
      <w:r>
        <w:rPr>
          <w:rFonts w:hint="eastAsia"/>
          <w:color w:val="auto"/>
          <w:sz w:val="24"/>
          <w:szCs w:val="24"/>
        </w:rPr>
        <w:t xml:space="preserve">电话：                               电话：                             </w:t>
      </w:r>
    </w:p>
    <w:p>
      <w:pPr>
        <w:snapToGrid w:val="0"/>
        <w:spacing w:line="360" w:lineRule="auto"/>
        <w:rPr>
          <w:color w:val="auto"/>
          <w:sz w:val="24"/>
          <w:szCs w:val="24"/>
        </w:rPr>
      </w:pPr>
      <w:r>
        <w:rPr>
          <w:rFonts w:hint="eastAsia"/>
          <w:color w:val="auto"/>
          <w:sz w:val="24"/>
          <w:szCs w:val="24"/>
        </w:rPr>
        <w:t>地址：                               地址：</w:t>
      </w:r>
    </w:p>
    <w:p>
      <w:pPr>
        <w:snapToGrid w:val="0"/>
        <w:spacing w:line="360" w:lineRule="auto"/>
        <w:rPr>
          <w:color w:val="auto"/>
          <w:sz w:val="24"/>
          <w:szCs w:val="24"/>
        </w:rPr>
      </w:pPr>
    </w:p>
    <w:p>
      <w:pPr>
        <w:widowControl/>
        <w:snapToGrid w:val="0"/>
        <w:spacing w:line="360" w:lineRule="auto"/>
        <w:jc w:val="right"/>
        <w:rPr>
          <w:color w:val="auto"/>
          <w:sz w:val="24"/>
          <w:szCs w:val="24"/>
        </w:rPr>
      </w:pPr>
      <w:r>
        <w:rPr>
          <w:rFonts w:hint="eastAsia"/>
          <w:color w:val="auto"/>
          <w:sz w:val="24"/>
          <w:szCs w:val="24"/>
        </w:rPr>
        <w:t>签订日期：    年    月     日</w:t>
      </w:r>
    </w:p>
    <w:p>
      <w:pPr>
        <w:spacing w:line="360" w:lineRule="auto"/>
        <w:rPr>
          <w:color w:val="auto"/>
          <w:sz w:val="24"/>
          <w:szCs w:val="24"/>
        </w:rPr>
      </w:pPr>
    </w:p>
    <w:p>
      <w:pPr>
        <w:rPr>
          <w:rFonts w:ascii="宋体" w:hAnsi="宋体" w:cs="宋体"/>
          <w:color w:val="auto"/>
          <w:sz w:val="21"/>
          <w:szCs w:val="21"/>
        </w:rPr>
      </w:pPr>
    </w:p>
    <w:p>
      <w:pPr>
        <w:rPr>
          <w:rFonts w:ascii="宋体" w:hAnsi="宋体" w:cs="宋体"/>
          <w:color w:val="auto"/>
          <w:sz w:val="21"/>
          <w:szCs w:val="21"/>
        </w:rPr>
      </w:pPr>
    </w:p>
    <w:p>
      <w:pPr>
        <w:pStyle w:val="5"/>
        <w:rPr>
          <w:color w:val="auto"/>
        </w:rPr>
        <w:sectPr>
          <w:headerReference r:id="rId9" w:type="default"/>
          <w:footerReference r:id="rId10" w:type="default"/>
          <w:footerReference r:id="rId11" w:type="even"/>
          <w:pgSz w:w="11907" w:h="16840"/>
          <w:pgMar w:top="1134" w:right="1191" w:bottom="1134" w:left="1304" w:header="964" w:footer="992" w:gutter="0"/>
          <w:pgNumType w:fmt="numberInDash"/>
          <w:cols w:space="720" w:num="1"/>
          <w:docGrid w:linePitch="312" w:charSpace="0"/>
        </w:sectPr>
      </w:pPr>
    </w:p>
    <w:p>
      <w:pPr>
        <w:pStyle w:val="3"/>
        <w:spacing w:before="0" w:after="0" w:line="360" w:lineRule="auto"/>
        <w:jc w:val="center"/>
        <w:rPr>
          <w:rFonts w:ascii="宋体" w:hAnsi="宋体" w:eastAsia="宋体" w:cs="宋体"/>
          <w:b w:val="0"/>
          <w:color w:val="auto"/>
          <w:sz w:val="36"/>
          <w:szCs w:val="30"/>
        </w:rPr>
      </w:pPr>
      <w:bookmarkStart w:id="65" w:name="_Hlt41879464"/>
      <w:bookmarkEnd w:id="65"/>
      <w:bookmarkStart w:id="66" w:name="_Toc5287"/>
      <w:r>
        <w:rPr>
          <w:rFonts w:hint="eastAsia" w:ascii="宋体" w:hAnsi="宋体" w:eastAsia="宋体" w:cs="宋体"/>
          <w:b w:val="0"/>
          <w:color w:val="auto"/>
          <w:sz w:val="36"/>
          <w:szCs w:val="30"/>
        </w:rPr>
        <w:t>第七篇  响应文件编制要求</w:t>
      </w:r>
      <w:bookmarkEnd w:id="66"/>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一、经济部分</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（一）竞争性磋商报价函</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（二）明细报价表</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二、服务部分</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（一）服务方案</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（二）服务响应偏离表</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三、商务部分</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（一）商务响应偏离表</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（二）其它优惠服务承诺</w:t>
      </w:r>
    </w:p>
    <w:p>
      <w:pPr>
        <w:spacing w:line="440" w:lineRule="exact"/>
        <w:ind w:firstLine="480" w:firstLineChars="200"/>
        <w:rPr>
          <w:rFonts w:ascii="宋体" w:hAnsi="宋体" w:cs="宋体"/>
          <w:color w:val="auto"/>
          <w:sz w:val="24"/>
          <w:szCs w:val="24"/>
        </w:rPr>
      </w:pPr>
      <w:r>
        <w:rPr>
          <w:rFonts w:hint="eastAsia" w:ascii="宋体" w:hAnsi="宋体" w:cs="宋体"/>
          <w:color w:val="auto"/>
          <w:sz w:val="24"/>
          <w:szCs w:val="24"/>
        </w:rPr>
        <w:t>四、资格条件及其他</w:t>
      </w:r>
    </w:p>
    <w:p>
      <w:pPr>
        <w:snapToGrid w:val="0"/>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（一）营业执照（副本）或事业单位法人证书（副本）复印件</w:t>
      </w:r>
    </w:p>
    <w:p>
      <w:pPr>
        <w:snapToGrid w:val="0"/>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（二）组织机构代码证复印件</w:t>
      </w:r>
    </w:p>
    <w:p>
      <w:pPr>
        <w:snapToGrid w:val="0"/>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（三）法定代表人身份证明书（格式）</w:t>
      </w:r>
    </w:p>
    <w:p>
      <w:pPr>
        <w:snapToGrid w:val="0"/>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（四）法定代表人授权委托书（格式）</w:t>
      </w:r>
    </w:p>
    <w:p>
      <w:pPr>
        <w:snapToGrid w:val="0"/>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（五）书面声明（格式）</w:t>
      </w:r>
    </w:p>
    <w:p>
      <w:pPr>
        <w:snapToGrid w:val="0"/>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（十）保证金缴纳情况证明。</w:t>
      </w:r>
    </w:p>
    <w:p>
      <w:pPr>
        <w:snapToGrid w:val="0"/>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五、其他应提供的资料</w:t>
      </w:r>
    </w:p>
    <w:p>
      <w:pPr>
        <w:spacing w:line="440" w:lineRule="exact"/>
        <w:rPr>
          <w:rFonts w:ascii="宋体" w:hAnsi="宋体" w:cs="宋体"/>
          <w:color w:val="auto"/>
          <w:sz w:val="24"/>
          <w:szCs w:val="24"/>
        </w:rPr>
      </w:pPr>
      <w:r>
        <w:rPr>
          <w:rFonts w:hint="eastAsia" w:ascii="宋体" w:hAnsi="宋体" w:cs="宋体"/>
          <w:color w:val="auto"/>
          <w:sz w:val="24"/>
          <w:szCs w:val="24"/>
        </w:rPr>
        <w:t>（一）中小企业声明函、监狱企业证明文件、残疾人福利性单位声明函（非小微企业不提供）</w:t>
      </w:r>
    </w:p>
    <w:p>
      <w:pPr>
        <w:spacing w:line="440" w:lineRule="exact"/>
        <w:rPr>
          <w:rFonts w:ascii="宋体" w:hAnsi="宋体" w:cs="宋体"/>
          <w:color w:val="auto"/>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r>
        <w:rPr>
          <w:rFonts w:hint="eastAsia" w:ascii="宋体" w:hAnsi="宋体" w:cs="宋体"/>
          <w:color w:val="auto"/>
          <w:sz w:val="24"/>
          <w:szCs w:val="24"/>
        </w:rPr>
        <w:t>（二）其他与项目有关的资料（自附）</w:t>
      </w:r>
    </w:p>
    <w:p>
      <w:pPr>
        <w:pStyle w:val="4"/>
        <w:spacing w:before="0" w:after="0" w:line="360" w:lineRule="auto"/>
        <w:rPr>
          <w:rFonts w:ascii="宋体" w:hAnsi="宋体" w:cs="宋体"/>
          <w:color w:val="auto"/>
          <w:sz w:val="24"/>
          <w:szCs w:val="24"/>
        </w:rPr>
      </w:pPr>
      <w:bookmarkStart w:id="67" w:name="_Toc342913419"/>
      <w:bookmarkStart w:id="68" w:name="_Toc18547"/>
      <w:bookmarkStart w:id="69" w:name="_Toc313008356"/>
      <w:bookmarkStart w:id="70" w:name="_Toc313888360"/>
      <w:bookmarkStart w:id="71" w:name="_Toc283382454"/>
      <w:bookmarkStart w:id="72" w:name="_Toc12789073"/>
      <w:r>
        <w:rPr>
          <w:rFonts w:hint="eastAsia" w:ascii="宋体" w:hAnsi="宋体" w:cs="宋体"/>
          <w:color w:val="auto"/>
          <w:sz w:val="24"/>
          <w:szCs w:val="24"/>
        </w:rPr>
        <w:t>一、经济部分</w:t>
      </w:r>
      <w:bookmarkEnd w:id="67"/>
      <w:bookmarkEnd w:id="68"/>
      <w:bookmarkEnd w:id="69"/>
      <w:bookmarkEnd w:id="70"/>
    </w:p>
    <w:bookmarkEnd w:id="71"/>
    <w:bookmarkEnd w:id="72"/>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（一）竞争性磋商报价函</w:t>
      </w:r>
    </w:p>
    <w:p>
      <w:pPr>
        <w:tabs>
          <w:tab w:val="left" w:pos="6300"/>
        </w:tabs>
        <w:snapToGrid w:val="0"/>
        <w:spacing w:line="312" w:lineRule="auto"/>
        <w:jc w:val="center"/>
        <w:rPr>
          <w:rFonts w:ascii="宋体" w:hAnsi="宋体" w:cs="宋体"/>
          <w:b/>
          <w:color w:val="auto"/>
          <w:sz w:val="24"/>
          <w:szCs w:val="24"/>
        </w:rPr>
      </w:pPr>
      <w:r>
        <w:rPr>
          <w:rFonts w:hint="eastAsia" w:ascii="宋体" w:hAnsi="宋体" w:cs="宋体"/>
          <w:b/>
          <w:color w:val="auto"/>
          <w:sz w:val="24"/>
          <w:szCs w:val="24"/>
        </w:rPr>
        <w:t>竞争性磋商报价函</w:t>
      </w:r>
    </w:p>
    <w:p>
      <w:pPr>
        <w:tabs>
          <w:tab w:val="left" w:pos="6300"/>
        </w:tabs>
        <w:snapToGrid w:val="0"/>
        <w:spacing w:line="312" w:lineRule="auto"/>
        <w:rPr>
          <w:rFonts w:ascii="宋体" w:hAnsi="宋体" w:cs="宋体"/>
          <w:color w:val="auto"/>
          <w:sz w:val="24"/>
          <w:szCs w:val="24"/>
        </w:rPr>
      </w:pPr>
      <w:r>
        <w:rPr>
          <w:rFonts w:hint="eastAsia" w:ascii="宋体" w:hAnsi="宋体" w:cs="宋体"/>
          <w:color w:val="auto"/>
          <w:sz w:val="24"/>
          <w:szCs w:val="24"/>
          <w:u w:val="single"/>
        </w:rPr>
        <w:t>（采购人名称）</w:t>
      </w:r>
      <w:r>
        <w:rPr>
          <w:rFonts w:hint="eastAsia" w:ascii="宋体" w:hAnsi="宋体" w:cs="宋体"/>
          <w:color w:val="auto"/>
          <w:sz w:val="24"/>
          <w:szCs w:val="24"/>
        </w:rPr>
        <w:t>：</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我方收到____________________________（磋商项目名称）的竞争性磋商文件，经详细研究，决定参加该项目的磋商。</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1.愿意按照竞争性磋商文件中的一切要求，提供本项目的服务，初始总报价为人民币大写：元整；人民币小写：元。以我公司最后总报价为准。</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2.我方现提交的响应文件为：响应文件正本份，副本份，电子文档份。</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3.我方承诺：本次磋商的有效期为90天。</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4.我方完全理解和接受贵方竞争性磋商文件的一切规定和要求及评审办法。</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5.在整个竞争性磋商过程中，我方若有违规行为，接受按照《中华人民共和国政府采购法》和《竞争性磋商文件》之规定给予惩罚。</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6.我方若成为成交供应商，将按照最终磋商结果签订合同，并且严格履行合同义务。本承诺函将成为合同不可分割的一部分，与合同具有同等的法律效力。</w:t>
      </w:r>
    </w:p>
    <w:p>
      <w:pPr>
        <w:tabs>
          <w:tab w:val="left" w:pos="6300"/>
        </w:tabs>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7.</w:t>
      </w:r>
      <w:r>
        <w:rPr>
          <w:rFonts w:hint="eastAsia" w:ascii="宋体" w:hAnsi="宋体" w:cs="宋体"/>
          <w:color w:val="auto"/>
          <w:sz w:val="24"/>
          <w:szCs w:val="28"/>
        </w:rPr>
        <w:t>我方未</w:t>
      </w:r>
      <w:r>
        <w:rPr>
          <w:rFonts w:hint="eastAsia" w:ascii="宋体" w:hAnsi="宋体" w:cs="宋体"/>
          <w:color w:val="auto"/>
          <w:sz w:val="24"/>
          <w:szCs w:val="24"/>
        </w:rPr>
        <w:t>为采购项目提供整体设计、规范编制或者项目管理、监理、检测等服务。</w:t>
      </w:r>
    </w:p>
    <w:p>
      <w:pPr>
        <w:tabs>
          <w:tab w:val="left" w:pos="6300"/>
        </w:tabs>
        <w:snapToGrid w:val="0"/>
        <w:spacing w:line="312" w:lineRule="auto"/>
        <w:ind w:firstLine="570"/>
        <w:rPr>
          <w:rFonts w:ascii="宋体" w:hAnsi="宋体" w:cs="宋体"/>
          <w:color w:val="auto"/>
          <w:sz w:val="24"/>
          <w:szCs w:val="24"/>
        </w:rPr>
      </w:pPr>
    </w:p>
    <w:p>
      <w:pPr>
        <w:tabs>
          <w:tab w:val="left" w:pos="6300"/>
        </w:tabs>
        <w:snapToGrid w:val="0"/>
        <w:spacing w:line="312" w:lineRule="auto"/>
        <w:ind w:firstLine="570"/>
        <w:rPr>
          <w:rFonts w:ascii="宋体" w:hAnsi="宋体" w:cs="宋体"/>
          <w:color w:val="auto"/>
          <w:sz w:val="24"/>
          <w:szCs w:val="24"/>
        </w:rPr>
      </w:pPr>
      <w:r>
        <w:rPr>
          <w:rFonts w:hint="eastAsia" w:ascii="宋体" w:hAnsi="宋体" w:cs="宋体"/>
          <w:color w:val="auto"/>
          <w:sz w:val="24"/>
          <w:szCs w:val="24"/>
        </w:rPr>
        <w:t>供应商（公章）：</w:t>
      </w:r>
    </w:p>
    <w:p>
      <w:pPr>
        <w:tabs>
          <w:tab w:val="left" w:pos="6300"/>
        </w:tabs>
        <w:snapToGrid w:val="0"/>
        <w:spacing w:line="312" w:lineRule="auto"/>
        <w:ind w:firstLine="570"/>
        <w:rPr>
          <w:rFonts w:ascii="宋体" w:hAnsi="宋体" w:cs="宋体"/>
          <w:color w:val="auto"/>
          <w:sz w:val="24"/>
          <w:szCs w:val="24"/>
        </w:rPr>
      </w:pPr>
      <w:r>
        <w:rPr>
          <w:rFonts w:hint="eastAsia" w:ascii="宋体" w:hAnsi="宋体" w:cs="宋体"/>
          <w:color w:val="auto"/>
          <w:sz w:val="24"/>
          <w:szCs w:val="24"/>
        </w:rPr>
        <w:t xml:space="preserve">地址：  </w:t>
      </w:r>
    </w:p>
    <w:p>
      <w:pPr>
        <w:tabs>
          <w:tab w:val="left" w:pos="6300"/>
        </w:tabs>
        <w:snapToGrid w:val="0"/>
        <w:spacing w:line="312" w:lineRule="auto"/>
        <w:ind w:firstLine="570"/>
        <w:rPr>
          <w:rFonts w:ascii="宋体" w:hAnsi="宋体" w:cs="宋体"/>
          <w:color w:val="auto"/>
          <w:sz w:val="24"/>
          <w:szCs w:val="24"/>
        </w:rPr>
      </w:pPr>
      <w:r>
        <w:rPr>
          <w:rFonts w:hint="eastAsia" w:ascii="宋体" w:hAnsi="宋体" w:cs="宋体"/>
          <w:color w:val="auto"/>
          <w:sz w:val="24"/>
          <w:szCs w:val="24"/>
        </w:rPr>
        <w:t>电话：                                             传真：</w:t>
      </w:r>
    </w:p>
    <w:p>
      <w:pPr>
        <w:tabs>
          <w:tab w:val="left" w:pos="6300"/>
        </w:tabs>
        <w:snapToGrid w:val="0"/>
        <w:spacing w:line="312" w:lineRule="auto"/>
        <w:ind w:firstLine="570"/>
        <w:rPr>
          <w:rFonts w:ascii="宋体" w:hAnsi="宋体" w:cs="宋体"/>
          <w:color w:val="auto"/>
          <w:sz w:val="24"/>
          <w:szCs w:val="24"/>
        </w:rPr>
      </w:pPr>
      <w:r>
        <w:rPr>
          <w:rFonts w:hint="eastAsia" w:ascii="宋体" w:hAnsi="宋体" w:cs="宋体"/>
          <w:color w:val="auto"/>
          <w:sz w:val="24"/>
          <w:szCs w:val="24"/>
        </w:rPr>
        <w:t>网址：                                             邮编：</w:t>
      </w:r>
    </w:p>
    <w:p>
      <w:pPr>
        <w:tabs>
          <w:tab w:val="left" w:pos="6300"/>
        </w:tabs>
        <w:snapToGrid w:val="0"/>
        <w:spacing w:line="312" w:lineRule="auto"/>
        <w:ind w:firstLine="570"/>
        <w:rPr>
          <w:rFonts w:ascii="宋体" w:hAnsi="宋体" w:cs="宋体"/>
          <w:color w:val="auto"/>
          <w:sz w:val="24"/>
          <w:szCs w:val="24"/>
        </w:rPr>
      </w:pPr>
      <w:r>
        <w:rPr>
          <w:rFonts w:hint="eastAsia" w:ascii="宋体" w:hAnsi="宋体" w:cs="宋体"/>
          <w:color w:val="auto"/>
          <w:sz w:val="24"/>
          <w:szCs w:val="24"/>
        </w:rPr>
        <w:t>联系人：</w:t>
      </w:r>
    </w:p>
    <w:p>
      <w:pPr>
        <w:snapToGrid w:val="0"/>
        <w:spacing w:line="312" w:lineRule="auto"/>
        <w:ind w:firstLine="480" w:firstLineChars="200"/>
        <w:rPr>
          <w:rFonts w:ascii="宋体" w:hAnsi="宋体" w:cs="宋体"/>
          <w:color w:val="auto"/>
          <w:sz w:val="24"/>
          <w:szCs w:val="24"/>
        </w:rPr>
      </w:pPr>
      <w:r>
        <w:rPr>
          <w:rFonts w:hint="eastAsia" w:ascii="宋体" w:hAnsi="宋体" w:cs="宋体"/>
          <w:color w:val="auto"/>
          <w:sz w:val="24"/>
          <w:szCs w:val="24"/>
        </w:rPr>
        <w:t xml:space="preserve">                                                  年   月   日</w:t>
      </w:r>
    </w:p>
    <w:p>
      <w:pPr>
        <w:pStyle w:val="6"/>
        <w:rPr>
          <w:rFonts w:ascii="宋体" w:hAnsi="宋体" w:cs="宋体"/>
          <w:color w:val="auto"/>
          <w:sz w:val="24"/>
          <w:szCs w:val="24"/>
        </w:rPr>
      </w:pPr>
    </w:p>
    <w:p>
      <w:pPr>
        <w:pStyle w:val="6"/>
        <w:rPr>
          <w:rFonts w:ascii="宋体" w:hAnsi="宋体" w:cs="宋体"/>
          <w:color w:val="auto"/>
          <w:sz w:val="24"/>
          <w:szCs w:val="24"/>
        </w:rPr>
      </w:pPr>
    </w:p>
    <w:p>
      <w:pPr>
        <w:pStyle w:val="6"/>
        <w:rPr>
          <w:rFonts w:ascii="宋体" w:hAnsi="宋体" w:cs="宋体"/>
          <w:color w:val="auto"/>
          <w:sz w:val="24"/>
          <w:szCs w:val="24"/>
        </w:rPr>
      </w:pPr>
    </w:p>
    <w:p>
      <w:pPr>
        <w:pStyle w:val="6"/>
        <w:rPr>
          <w:rFonts w:ascii="宋体" w:hAnsi="宋体" w:cs="宋体"/>
          <w:color w:val="auto"/>
          <w:sz w:val="24"/>
          <w:szCs w:val="24"/>
        </w:rPr>
      </w:pPr>
    </w:p>
    <w:p>
      <w:pPr>
        <w:pStyle w:val="6"/>
        <w:rPr>
          <w:rFonts w:ascii="宋体" w:hAnsi="宋体" w:cs="宋体"/>
          <w:color w:val="auto"/>
          <w:sz w:val="24"/>
          <w:szCs w:val="24"/>
        </w:rPr>
      </w:pPr>
    </w:p>
    <w:p>
      <w:pPr>
        <w:pStyle w:val="6"/>
        <w:rPr>
          <w:rFonts w:ascii="宋体" w:hAnsi="宋体" w:cs="宋体"/>
          <w:color w:val="auto"/>
          <w:sz w:val="24"/>
          <w:szCs w:val="24"/>
        </w:rPr>
      </w:pPr>
    </w:p>
    <w:p>
      <w:pPr>
        <w:pStyle w:val="6"/>
        <w:rPr>
          <w:rFonts w:ascii="宋体" w:hAnsi="宋体" w:cs="宋体"/>
          <w:color w:val="auto"/>
          <w:sz w:val="24"/>
          <w:szCs w:val="24"/>
        </w:rPr>
      </w:pPr>
    </w:p>
    <w:p>
      <w:pPr>
        <w:pStyle w:val="6"/>
        <w:rPr>
          <w:rFonts w:ascii="宋体" w:hAnsi="宋体" w:cs="宋体"/>
          <w:color w:val="auto"/>
          <w:sz w:val="24"/>
          <w:szCs w:val="24"/>
        </w:rPr>
      </w:pPr>
    </w:p>
    <w:p>
      <w:pPr>
        <w:pStyle w:val="6"/>
        <w:rPr>
          <w:rFonts w:ascii="宋体" w:hAnsi="宋体" w:cs="宋体"/>
          <w:color w:val="auto"/>
          <w:sz w:val="24"/>
          <w:szCs w:val="24"/>
        </w:rPr>
      </w:pPr>
    </w:p>
    <w:p>
      <w:pPr>
        <w:pStyle w:val="6"/>
        <w:rPr>
          <w:rFonts w:ascii="宋体" w:hAnsi="宋体" w:cs="宋体"/>
          <w:color w:val="auto"/>
          <w:sz w:val="24"/>
          <w:szCs w:val="24"/>
        </w:rPr>
      </w:pPr>
    </w:p>
    <w:p>
      <w:pPr>
        <w:pStyle w:val="6"/>
        <w:rPr>
          <w:rFonts w:ascii="宋体" w:hAnsi="宋体" w:cs="宋体"/>
          <w:color w:val="auto"/>
          <w:sz w:val="24"/>
          <w:szCs w:val="24"/>
        </w:rPr>
      </w:pPr>
    </w:p>
    <w:p>
      <w:pPr>
        <w:pStyle w:val="6"/>
        <w:rPr>
          <w:rFonts w:ascii="宋体" w:hAnsi="宋体" w:cs="宋体"/>
          <w:color w:val="auto"/>
          <w:sz w:val="24"/>
          <w:szCs w:val="24"/>
        </w:rPr>
      </w:pPr>
    </w:p>
    <w:p>
      <w:pPr>
        <w:pStyle w:val="6"/>
        <w:rPr>
          <w:rFonts w:ascii="宋体" w:hAnsi="宋体" w:cs="宋体"/>
          <w:color w:val="auto"/>
          <w:sz w:val="24"/>
          <w:szCs w:val="24"/>
        </w:rPr>
      </w:pPr>
    </w:p>
    <w:p>
      <w:pPr>
        <w:tabs>
          <w:tab w:val="left" w:pos="2895"/>
        </w:tabs>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（二）明细报价表</w:t>
      </w:r>
    </w:p>
    <w:p>
      <w:pPr>
        <w:jc w:val="center"/>
        <w:rPr>
          <w:rFonts w:ascii="宋体" w:hAnsi="宋体" w:cs="宋体"/>
          <w:b/>
          <w:color w:val="auto"/>
          <w:sz w:val="24"/>
          <w:szCs w:val="24"/>
        </w:rPr>
      </w:pPr>
      <w:r>
        <w:rPr>
          <w:rFonts w:hint="eastAsia" w:ascii="宋体" w:hAnsi="宋体" w:cs="宋体"/>
          <w:b/>
          <w:color w:val="auto"/>
          <w:sz w:val="24"/>
          <w:szCs w:val="24"/>
        </w:rPr>
        <w:t>明细报价表</w:t>
      </w:r>
    </w:p>
    <w:p>
      <w:pPr>
        <w:spacing w:line="360" w:lineRule="auto"/>
        <w:ind w:firstLine="480" w:firstLineChars="200"/>
        <w:rPr>
          <w:rFonts w:ascii="宋体" w:hAnsi="宋体" w:cs="宋体"/>
          <w:color w:val="auto"/>
          <w:sz w:val="24"/>
          <w:szCs w:val="24"/>
          <w:u w:val="single"/>
        </w:rPr>
      </w:pPr>
      <w:r>
        <w:rPr>
          <w:rFonts w:hint="eastAsia" w:ascii="宋体" w:hAnsi="宋体" w:cs="宋体"/>
          <w:color w:val="auto"/>
          <w:sz w:val="24"/>
          <w:szCs w:val="24"/>
        </w:rPr>
        <w:t>项目编号：</w:t>
      </w:r>
    </w:p>
    <w:tbl>
      <w:tblPr>
        <w:tblStyle w:val="17"/>
        <w:tblW w:w="8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5545"/>
        <w:gridCol w:w="1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exact"/>
          <w:jc w:val="center"/>
        </w:trPr>
        <w:tc>
          <w:tcPr>
            <w:tcW w:w="1104" w:type="dxa"/>
            <w:vAlign w:val="center"/>
          </w:tcPr>
          <w:p>
            <w:pPr>
              <w:jc w:val="center"/>
              <w:rPr>
                <w:rFonts w:ascii="宋体" w:hAnsi="宋体" w:cs="宋体"/>
                <w:b/>
                <w:color w:val="auto"/>
                <w:sz w:val="21"/>
                <w:szCs w:val="21"/>
              </w:rPr>
            </w:pPr>
            <w:r>
              <w:rPr>
                <w:rFonts w:hint="eastAsia" w:ascii="宋体" w:hAnsi="宋体" w:cs="宋体"/>
                <w:b/>
                <w:color w:val="auto"/>
                <w:sz w:val="21"/>
                <w:szCs w:val="21"/>
              </w:rPr>
              <w:t>分包号</w:t>
            </w:r>
          </w:p>
        </w:tc>
        <w:tc>
          <w:tcPr>
            <w:tcW w:w="5545" w:type="dxa"/>
            <w:vAlign w:val="center"/>
          </w:tcPr>
          <w:p>
            <w:pPr>
              <w:jc w:val="center"/>
              <w:rPr>
                <w:rFonts w:ascii="宋体" w:hAnsi="宋体" w:cs="宋体"/>
                <w:b/>
                <w:color w:val="auto"/>
                <w:sz w:val="21"/>
                <w:szCs w:val="21"/>
              </w:rPr>
            </w:pPr>
            <w:r>
              <w:rPr>
                <w:rFonts w:hint="eastAsia" w:ascii="宋体" w:hAnsi="宋体" w:cs="宋体"/>
                <w:b/>
                <w:color w:val="auto"/>
                <w:sz w:val="21"/>
                <w:szCs w:val="21"/>
              </w:rPr>
              <w:t>分包名称</w:t>
            </w:r>
          </w:p>
        </w:tc>
        <w:tc>
          <w:tcPr>
            <w:tcW w:w="1642" w:type="dxa"/>
            <w:vAlign w:val="center"/>
          </w:tcPr>
          <w:p>
            <w:pPr>
              <w:jc w:val="center"/>
              <w:rPr>
                <w:rFonts w:ascii="宋体" w:hAnsi="宋体" w:cs="宋体"/>
                <w:b/>
                <w:color w:val="auto"/>
                <w:sz w:val="21"/>
                <w:szCs w:val="21"/>
              </w:rPr>
            </w:pPr>
            <w:r>
              <w:rPr>
                <w:rFonts w:hint="eastAsia" w:ascii="宋体" w:hAnsi="宋体" w:cs="宋体"/>
                <w:b/>
                <w:color w:val="auto"/>
                <w:sz w:val="21"/>
                <w:szCs w:val="21"/>
              </w:rPr>
              <w:t>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jc w:val="center"/>
        </w:trPr>
        <w:tc>
          <w:tcPr>
            <w:tcW w:w="1104" w:type="dxa"/>
            <w:vAlign w:val="center"/>
          </w:tcPr>
          <w:p>
            <w:pPr>
              <w:pStyle w:val="7"/>
              <w:spacing w:line="240" w:lineRule="atLeast"/>
              <w:ind w:left="3920"/>
              <w:jc w:val="center"/>
              <w:outlineLvl w:val="0"/>
              <w:rPr>
                <w:rFonts w:ascii="宋体" w:hAnsi="宋体" w:cs="宋体"/>
                <w:color w:val="auto"/>
                <w:sz w:val="21"/>
                <w:szCs w:val="21"/>
              </w:rPr>
            </w:pPr>
            <w:r>
              <w:rPr>
                <w:rFonts w:hint="eastAsia" w:ascii="宋体" w:hAnsi="宋体" w:cs="宋体"/>
                <w:color w:val="auto"/>
                <w:sz w:val="21"/>
                <w:szCs w:val="21"/>
              </w:rPr>
              <w:t>1</w:t>
            </w:r>
          </w:p>
        </w:tc>
        <w:tc>
          <w:tcPr>
            <w:tcW w:w="5545" w:type="dxa"/>
            <w:vAlign w:val="center"/>
          </w:tcPr>
          <w:p>
            <w:pPr>
              <w:jc w:val="center"/>
              <w:rPr>
                <w:rFonts w:ascii="宋体" w:hAnsi="宋体" w:cs="宋体"/>
                <w:color w:val="auto"/>
                <w:sz w:val="21"/>
                <w:szCs w:val="21"/>
              </w:rPr>
            </w:pPr>
          </w:p>
        </w:tc>
        <w:tc>
          <w:tcPr>
            <w:tcW w:w="1642" w:type="dxa"/>
          </w:tcPr>
          <w:p>
            <w:pPr>
              <w:jc w:val="center"/>
              <w:rPr>
                <w:rFonts w:ascii="宋体" w:hAnsi="宋体" w:cs="宋体"/>
                <w:color w:val="auto"/>
                <w:sz w:val="21"/>
                <w:szCs w:val="21"/>
              </w:rPr>
            </w:pPr>
          </w:p>
        </w:tc>
      </w:tr>
    </w:tbl>
    <w:p>
      <w:pPr>
        <w:snapToGrid w:val="0"/>
        <w:spacing w:line="500" w:lineRule="exact"/>
        <w:ind w:firstLine="480" w:firstLineChars="200"/>
        <w:rPr>
          <w:rFonts w:ascii="宋体" w:hAnsi="宋体" w:cs="宋体"/>
          <w:color w:val="auto"/>
          <w:sz w:val="24"/>
          <w:szCs w:val="28"/>
        </w:rPr>
      </w:pPr>
    </w:p>
    <w:p>
      <w:pPr>
        <w:snapToGrid w:val="0"/>
        <w:spacing w:line="500" w:lineRule="exact"/>
        <w:ind w:firstLine="480" w:firstLineChars="200"/>
        <w:rPr>
          <w:rFonts w:ascii="宋体" w:hAnsi="宋体" w:cs="宋体"/>
          <w:color w:val="auto"/>
          <w:sz w:val="24"/>
          <w:szCs w:val="28"/>
        </w:rPr>
      </w:pPr>
      <w:r>
        <w:rPr>
          <w:rFonts w:hint="eastAsia" w:ascii="宋体" w:hAnsi="宋体" w:cs="宋体"/>
          <w:color w:val="auto"/>
          <w:sz w:val="24"/>
          <w:szCs w:val="28"/>
        </w:rPr>
        <w:t>注：1、请供应商完整填写本表。</w:t>
      </w:r>
    </w:p>
    <w:p>
      <w:pPr>
        <w:snapToGrid w:val="0"/>
        <w:spacing w:line="500" w:lineRule="exact"/>
        <w:rPr>
          <w:rFonts w:ascii="宋体" w:hAnsi="宋体" w:cs="宋体"/>
          <w:color w:val="auto"/>
          <w:sz w:val="24"/>
          <w:szCs w:val="28"/>
        </w:rPr>
      </w:pPr>
      <w:r>
        <w:rPr>
          <w:rFonts w:hint="eastAsia" w:ascii="宋体" w:hAnsi="宋体" w:cs="宋体"/>
          <w:color w:val="auto"/>
          <w:sz w:val="24"/>
          <w:szCs w:val="28"/>
        </w:rPr>
        <w:t xml:space="preserve">        2、该表可扩展</w:t>
      </w:r>
      <w:bookmarkStart w:id="73" w:name="OLE_LINK2"/>
      <w:bookmarkStart w:id="74" w:name="OLE_LINK1"/>
      <w:r>
        <w:rPr>
          <w:rFonts w:hint="eastAsia" w:ascii="宋体" w:hAnsi="宋体" w:cs="宋体"/>
          <w:color w:val="auto"/>
          <w:sz w:val="24"/>
          <w:szCs w:val="28"/>
        </w:rPr>
        <w:t>。</w:t>
      </w:r>
      <w:bookmarkEnd w:id="73"/>
      <w:bookmarkEnd w:id="74"/>
    </w:p>
    <w:p>
      <w:pPr>
        <w:snapToGrid w:val="0"/>
        <w:spacing w:line="500" w:lineRule="exact"/>
        <w:rPr>
          <w:rFonts w:ascii="宋体" w:hAnsi="宋体" w:cs="宋体"/>
          <w:color w:val="auto"/>
          <w:sz w:val="24"/>
          <w:szCs w:val="28"/>
        </w:rPr>
      </w:pPr>
      <w:r>
        <w:rPr>
          <w:rFonts w:hint="eastAsia" w:ascii="宋体" w:hAnsi="宋体" w:cs="宋体"/>
          <w:color w:val="auto"/>
          <w:sz w:val="24"/>
          <w:szCs w:val="28"/>
        </w:rPr>
        <w:t xml:space="preserve">        3、该表可根据项目实际情况调整。</w:t>
      </w:r>
    </w:p>
    <w:p>
      <w:pPr>
        <w:pStyle w:val="13"/>
        <w:spacing w:line="360" w:lineRule="auto"/>
        <w:rPr>
          <w:rFonts w:ascii="宋体" w:hAnsi="宋体" w:cs="宋体"/>
          <w:color w:val="auto"/>
          <w:sz w:val="24"/>
          <w:szCs w:val="24"/>
        </w:rPr>
      </w:pPr>
    </w:p>
    <w:p>
      <w:pPr>
        <w:pStyle w:val="13"/>
        <w:spacing w:line="360" w:lineRule="auto"/>
        <w:rPr>
          <w:rFonts w:ascii="宋体" w:hAnsi="宋体" w:cs="宋体"/>
          <w:color w:val="auto"/>
          <w:sz w:val="24"/>
          <w:szCs w:val="24"/>
        </w:rPr>
      </w:pPr>
    </w:p>
    <w:p>
      <w:pPr>
        <w:rPr>
          <w:rFonts w:ascii="宋体" w:hAnsi="宋体" w:cs="宋体"/>
          <w:color w:val="auto"/>
        </w:rPr>
      </w:pPr>
    </w:p>
    <w:p>
      <w:pPr>
        <w:rPr>
          <w:rFonts w:ascii="宋体" w:hAnsi="宋体" w:cs="宋体"/>
          <w:color w:val="auto"/>
        </w:rPr>
      </w:pPr>
    </w:p>
    <w:p>
      <w:pPr>
        <w:spacing w:line="360" w:lineRule="auto"/>
        <w:rPr>
          <w:rFonts w:ascii="宋体" w:hAnsi="宋体" w:cs="宋体"/>
          <w:color w:val="auto"/>
        </w:rPr>
      </w:pPr>
      <w:r>
        <w:rPr>
          <w:rFonts w:hint="eastAsia" w:ascii="宋体" w:hAnsi="宋体" w:cs="宋体"/>
          <w:color w:val="auto"/>
          <w:sz w:val="24"/>
          <w:szCs w:val="24"/>
        </w:rPr>
        <w:t xml:space="preserve">                                                   供应商名称（公章）：</w:t>
      </w:r>
    </w:p>
    <w:p>
      <w:pPr>
        <w:spacing w:line="360" w:lineRule="auto"/>
        <w:ind w:right="480" w:firstLine="6480" w:firstLineChars="2700"/>
        <w:rPr>
          <w:rFonts w:ascii="宋体" w:hAnsi="宋体" w:cs="宋体"/>
          <w:color w:val="auto"/>
          <w:sz w:val="24"/>
          <w:szCs w:val="24"/>
        </w:rPr>
      </w:pPr>
      <w:r>
        <w:rPr>
          <w:rFonts w:hint="eastAsia" w:ascii="宋体" w:hAnsi="宋体" w:cs="宋体"/>
          <w:color w:val="auto"/>
          <w:sz w:val="24"/>
          <w:szCs w:val="24"/>
        </w:rPr>
        <w:t>年     月    日</w:t>
      </w:r>
    </w:p>
    <w:p>
      <w:pPr>
        <w:snapToGrid w:val="0"/>
        <w:spacing w:line="360" w:lineRule="auto"/>
        <w:ind w:firstLine="480" w:firstLineChars="200"/>
        <w:rPr>
          <w:rFonts w:ascii="宋体" w:hAnsi="宋体" w:cs="宋体"/>
          <w:color w:val="auto"/>
          <w:sz w:val="24"/>
          <w:szCs w:val="24"/>
          <w:bdr w:val="single" w:color="auto" w:sz="4" w:space="0"/>
        </w:rPr>
        <w:sectPr>
          <w:headerReference r:id="rId13" w:type="first"/>
          <w:headerReference r:id="rId12" w:type="even"/>
          <w:pgSz w:w="11907" w:h="16840"/>
          <w:pgMar w:top="1134" w:right="1191" w:bottom="1134" w:left="1304" w:header="851" w:footer="992" w:gutter="0"/>
          <w:pgNumType w:fmt="numberInDash"/>
          <w:cols w:space="720" w:num="1"/>
          <w:docGrid w:linePitch="380" w:charSpace="-5735"/>
        </w:sectPr>
      </w:pPr>
    </w:p>
    <w:p>
      <w:pPr>
        <w:pStyle w:val="13"/>
        <w:spacing w:line="360" w:lineRule="auto"/>
        <w:rPr>
          <w:rFonts w:ascii="宋体" w:hAnsi="宋体" w:cs="宋体"/>
          <w:color w:val="auto"/>
          <w:sz w:val="24"/>
          <w:szCs w:val="24"/>
        </w:rPr>
      </w:pPr>
    </w:p>
    <w:p>
      <w:pPr>
        <w:pStyle w:val="4"/>
        <w:spacing w:before="0" w:after="0" w:line="360" w:lineRule="auto"/>
        <w:rPr>
          <w:rFonts w:ascii="宋体" w:hAnsi="宋体" w:cs="宋体"/>
          <w:color w:val="auto"/>
          <w:sz w:val="24"/>
          <w:szCs w:val="24"/>
        </w:rPr>
      </w:pPr>
      <w:bookmarkStart w:id="75" w:name="_Toc19039"/>
      <w:r>
        <w:rPr>
          <w:rFonts w:hint="eastAsia" w:ascii="宋体" w:hAnsi="宋体" w:cs="宋体"/>
          <w:color w:val="auto"/>
          <w:sz w:val="24"/>
          <w:szCs w:val="24"/>
        </w:rPr>
        <w:t>二、服务部分</w:t>
      </w:r>
      <w:bookmarkEnd w:id="75"/>
    </w:p>
    <w:p>
      <w:pPr>
        <w:snapToGrid w:val="0"/>
        <w:spacing w:line="360" w:lineRule="auto"/>
        <w:jc w:val="center"/>
        <w:rPr>
          <w:rFonts w:ascii="宋体" w:hAnsi="宋体" w:cs="宋体"/>
          <w:color w:val="auto"/>
          <w:sz w:val="24"/>
          <w:szCs w:val="24"/>
        </w:rPr>
      </w:pPr>
      <w:r>
        <w:rPr>
          <w:rFonts w:hint="eastAsia" w:ascii="宋体" w:hAnsi="宋体" w:cs="宋体"/>
          <w:color w:val="auto"/>
          <w:sz w:val="24"/>
          <w:szCs w:val="24"/>
        </w:rPr>
        <w:t>（一）服务方案（格式自定）</w:t>
      </w:r>
    </w:p>
    <w:p>
      <w:pPr>
        <w:spacing w:line="360" w:lineRule="auto"/>
        <w:ind w:right="480" w:firstLine="6480" w:firstLineChars="2700"/>
        <w:rPr>
          <w:rFonts w:ascii="宋体" w:hAnsi="宋体" w:cs="宋体"/>
          <w:color w:val="auto"/>
          <w:sz w:val="24"/>
          <w:szCs w:val="24"/>
          <w:bdr w:val="single" w:color="auto" w:sz="4" w:space="0"/>
        </w:rPr>
        <w:sectPr>
          <w:headerReference r:id="rId15" w:type="first"/>
          <w:headerReference r:id="rId14" w:type="even"/>
          <w:pgSz w:w="11907" w:h="16840"/>
          <w:pgMar w:top="1134" w:right="1191" w:bottom="1134" w:left="1304" w:header="851" w:footer="992" w:gutter="0"/>
          <w:pgNumType w:fmt="numberInDash"/>
          <w:cols w:space="720" w:num="1"/>
          <w:docGrid w:linePitch="380" w:charSpace="-5735"/>
        </w:sectPr>
      </w:pPr>
    </w:p>
    <w:p>
      <w:pPr>
        <w:tabs>
          <w:tab w:val="left" w:pos="6300"/>
        </w:tabs>
        <w:snapToGrid w:val="0"/>
        <w:spacing w:line="500" w:lineRule="exact"/>
        <w:rPr>
          <w:rFonts w:ascii="宋体" w:hAnsi="宋体" w:cs="宋体"/>
          <w:color w:val="auto"/>
          <w:szCs w:val="24"/>
        </w:rPr>
      </w:pPr>
      <w:r>
        <w:rPr>
          <w:rFonts w:hint="eastAsia" w:ascii="宋体" w:hAnsi="宋体" w:cs="宋体"/>
          <w:color w:val="auto"/>
          <w:sz w:val="24"/>
          <w:szCs w:val="24"/>
        </w:rPr>
        <w:t>（二）服务响应偏离表</w:t>
      </w:r>
    </w:p>
    <w:p>
      <w:pPr>
        <w:spacing w:line="400" w:lineRule="exact"/>
        <w:ind w:firstLine="480" w:firstLineChars="200"/>
        <w:rPr>
          <w:rFonts w:ascii="宋体" w:hAnsi="宋体" w:cs="宋体"/>
          <w:color w:val="auto"/>
          <w:sz w:val="24"/>
          <w:szCs w:val="24"/>
        </w:rPr>
      </w:pPr>
      <w:r>
        <w:rPr>
          <w:rFonts w:hint="eastAsia" w:ascii="宋体" w:hAnsi="宋体" w:cs="宋体"/>
          <w:color w:val="auto"/>
          <w:sz w:val="24"/>
          <w:szCs w:val="24"/>
        </w:rPr>
        <w:t>磋商项目编号：</w:t>
      </w:r>
    </w:p>
    <w:tbl>
      <w:tblPr>
        <w:tblStyle w:val="17"/>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968"/>
        <w:gridCol w:w="3081"/>
        <w:gridCol w:w="2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71" w:type="dxa"/>
            <w:vAlign w:val="center"/>
          </w:tcPr>
          <w:p>
            <w:pPr>
              <w:tabs>
                <w:tab w:val="left" w:pos="6300"/>
              </w:tabs>
              <w:snapToGrid w:val="0"/>
              <w:spacing w:line="500" w:lineRule="exact"/>
              <w:jc w:val="center"/>
              <w:outlineLvl w:val="0"/>
              <w:rPr>
                <w:rFonts w:ascii="宋体" w:hAnsi="宋体" w:cs="宋体"/>
                <w:color w:val="auto"/>
                <w:sz w:val="21"/>
                <w:szCs w:val="21"/>
              </w:rPr>
            </w:pPr>
            <w:r>
              <w:rPr>
                <w:rFonts w:hint="eastAsia" w:ascii="宋体" w:hAnsi="宋体" w:cs="宋体"/>
                <w:color w:val="auto"/>
                <w:sz w:val="21"/>
                <w:szCs w:val="21"/>
              </w:rPr>
              <w:t>序号</w:t>
            </w:r>
          </w:p>
        </w:tc>
        <w:tc>
          <w:tcPr>
            <w:tcW w:w="2968" w:type="dxa"/>
            <w:vAlign w:val="center"/>
          </w:tcPr>
          <w:p>
            <w:pPr>
              <w:tabs>
                <w:tab w:val="left" w:pos="6300"/>
              </w:tabs>
              <w:snapToGrid w:val="0"/>
              <w:spacing w:line="500" w:lineRule="exact"/>
              <w:jc w:val="center"/>
              <w:outlineLvl w:val="0"/>
              <w:rPr>
                <w:rFonts w:ascii="宋体" w:hAnsi="宋体" w:cs="宋体"/>
                <w:color w:val="auto"/>
                <w:sz w:val="21"/>
                <w:szCs w:val="21"/>
              </w:rPr>
            </w:pPr>
            <w:r>
              <w:rPr>
                <w:rFonts w:hint="eastAsia" w:ascii="宋体" w:hAnsi="宋体" w:cs="宋体"/>
                <w:color w:val="auto"/>
                <w:sz w:val="21"/>
                <w:szCs w:val="21"/>
              </w:rPr>
              <w:t>采购需求</w:t>
            </w:r>
          </w:p>
        </w:tc>
        <w:tc>
          <w:tcPr>
            <w:tcW w:w="3081" w:type="dxa"/>
            <w:vAlign w:val="center"/>
          </w:tcPr>
          <w:p>
            <w:pPr>
              <w:tabs>
                <w:tab w:val="left" w:pos="6300"/>
              </w:tabs>
              <w:snapToGrid w:val="0"/>
              <w:spacing w:line="500" w:lineRule="exact"/>
              <w:jc w:val="center"/>
              <w:outlineLvl w:val="0"/>
              <w:rPr>
                <w:rFonts w:ascii="宋体" w:hAnsi="宋体" w:cs="宋体"/>
                <w:color w:val="auto"/>
                <w:sz w:val="21"/>
                <w:szCs w:val="21"/>
              </w:rPr>
            </w:pPr>
            <w:r>
              <w:rPr>
                <w:rFonts w:hint="eastAsia" w:ascii="宋体" w:hAnsi="宋体" w:cs="宋体"/>
                <w:color w:val="auto"/>
                <w:sz w:val="21"/>
                <w:szCs w:val="21"/>
              </w:rPr>
              <w:t>响应情况</w:t>
            </w:r>
          </w:p>
        </w:tc>
        <w:tc>
          <w:tcPr>
            <w:tcW w:w="2308" w:type="dxa"/>
            <w:vAlign w:val="center"/>
          </w:tcPr>
          <w:p>
            <w:pPr>
              <w:tabs>
                <w:tab w:val="left" w:pos="6300"/>
              </w:tabs>
              <w:snapToGrid w:val="0"/>
              <w:spacing w:line="500" w:lineRule="exact"/>
              <w:jc w:val="center"/>
              <w:outlineLvl w:val="0"/>
              <w:rPr>
                <w:rFonts w:ascii="宋体" w:hAnsi="宋体" w:cs="宋体"/>
                <w:color w:val="auto"/>
                <w:sz w:val="21"/>
                <w:szCs w:val="21"/>
              </w:rPr>
            </w:pPr>
            <w:r>
              <w:rPr>
                <w:rFonts w:hint="eastAsia" w:ascii="宋体" w:hAnsi="宋体" w:cs="宋体"/>
                <w:color w:val="auto"/>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宋体" w:hAnsi="宋体" w:cs="宋体"/>
                <w:color w:val="auto"/>
                <w:sz w:val="21"/>
                <w:szCs w:val="21"/>
              </w:rPr>
            </w:pPr>
          </w:p>
        </w:tc>
        <w:tc>
          <w:tcPr>
            <w:tcW w:w="2968" w:type="dxa"/>
            <w:vAlign w:val="center"/>
          </w:tcPr>
          <w:p>
            <w:pPr>
              <w:tabs>
                <w:tab w:val="left" w:pos="6300"/>
              </w:tabs>
              <w:snapToGrid w:val="0"/>
              <w:spacing w:line="500" w:lineRule="exact"/>
              <w:jc w:val="center"/>
              <w:outlineLvl w:val="0"/>
              <w:rPr>
                <w:rFonts w:ascii="宋体" w:hAnsi="宋体" w:cs="宋体"/>
                <w:color w:val="auto"/>
                <w:sz w:val="21"/>
                <w:szCs w:val="21"/>
              </w:rPr>
            </w:pPr>
          </w:p>
        </w:tc>
        <w:tc>
          <w:tcPr>
            <w:tcW w:w="3081" w:type="dxa"/>
            <w:vAlign w:val="center"/>
          </w:tcPr>
          <w:p>
            <w:pPr>
              <w:tabs>
                <w:tab w:val="left" w:pos="6300"/>
              </w:tabs>
              <w:snapToGrid w:val="0"/>
              <w:spacing w:line="500" w:lineRule="exact"/>
              <w:jc w:val="center"/>
              <w:outlineLvl w:val="0"/>
              <w:rPr>
                <w:rFonts w:ascii="宋体" w:hAnsi="宋体" w:cs="宋体"/>
                <w:color w:val="auto"/>
                <w:sz w:val="21"/>
                <w:szCs w:val="21"/>
              </w:rPr>
            </w:pPr>
          </w:p>
        </w:tc>
        <w:tc>
          <w:tcPr>
            <w:tcW w:w="2308" w:type="dxa"/>
            <w:vAlign w:val="center"/>
          </w:tcPr>
          <w:p>
            <w:pPr>
              <w:tabs>
                <w:tab w:val="left" w:pos="6300"/>
              </w:tabs>
              <w:snapToGrid w:val="0"/>
              <w:spacing w:line="500" w:lineRule="exact"/>
              <w:jc w:val="center"/>
              <w:outlineLvl w:val="0"/>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宋体" w:hAnsi="宋体" w:cs="宋体"/>
                <w:color w:val="auto"/>
                <w:sz w:val="21"/>
                <w:szCs w:val="21"/>
              </w:rPr>
            </w:pPr>
          </w:p>
        </w:tc>
        <w:tc>
          <w:tcPr>
            <w:tcW w:w="2968" w:type="dxa"/>
            <w:vAlign w:val="center"/>
          </w:tcPr>
          <w:p>
            <w:pPr>
              <w:tabs>
                <w:tab w:val="left" w:pos="6300"/>
              </w:tabs>
              <w:snapToGrid w:val="0"/>
              <w:spacing w:line="500" w:lineRule="exact"/>
              <w:jc w:val="center"/>
              <w:outlineLvl w:val="0"/>
              <w:rPr>
                <w:rFonts w:ascii="宋体" w:hAnsi="宋体" w:cs="宋体"/>
                <w:color w:val="auto"/>
                <w:sz w:val="21"/>
                <w:szCs w:val="21"/>
              </w:rPr>
            </w:pPr>
          </w:p>
        </w:tc>
        <w:tc>
          <w:tcPr>
            <w:tcW w:w="3081" w:type="dxa"/>
            <w:vAlign w:val="center"/>
          </w:tcPr>
          <w:p>
            <w:pPr>
              <w:tabs>
                <w:tab w:val="left" w:pos="6300"/>
              </w:tabs>
              <w:snapToGrid w:val="0"/>
              <w:spacing w:line="500" w:lineRule="exact"/>
              <w:jc w:val="center"/>
              <w:outlineLvl w:val="0"/>
              <w:rPr>
                <w:rFonts w:ascii="宋体" w:hAnsi="宋体" w:cs="宋体"/>
                <w:color w:val="auto"/>
                <w:sz w:val="21"/>
                <w:szCs w:val="21"/>
              </w:rPr>
            </w:pPr>
          </w:p>
        </w:tc>
        <w:tc>
          <w:tcPr>
            <w:tcW w:w="2308" w:type="dxa"/>
            <w:vAlign w:val="center"/>
          </w:tcPr>
          <w:p>
            <w:pPr>
              <w:tabs>
                <w:tab w:val="left" w:pos="6300"/>
              </w:tabs>
              <w:snapToGrid w:val="0"/>
              <w:spacing w:line="500" w:lineRule="exact"/>
              <w:jc w:val="center"/>
              <w:outlineLvl w:val="0"/>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宋体" w:hAnsi="宋体" w:cs="宋体"/>
                <w:color w:val="auto"/>
                <w:sz w:val="21"/>
                <w:szCs w:val="21"/>
              </w:rPr>
            </w:pPr>
          </w:p>
        </w:tc>
        <w:tc>
          <w:tcPr>
            <w:tcW w:w="2968" w:type="dxa"/>
            <w:vAlign w:val="center"/>
          </w:tcPr>
          <w:p>
            <w:pPr>
              <w:tabs>
                <w:tab w:val="left" w:pos="6300"/>
              </w:tabs>
              <w:snapToGrid w:val="0"/>
              <w:spacing w:line="500" w:lineRule="exact"/>
              <w:jc w:val="center"/>
              <w:outlineLvl w:val="0"/>
              <w:rPr>
                <w:rFonts w:ascii="宋体" w:hAnsi="宋体" w:cs="宋体"/>
                <w:color w:val="auto"/>
                <w:sz w:val="21"/>
                <w:szCs w:val="21"/>
              </w:rPr>
            </w:pPr>
          </w:p>
        </w:tc>
        <w:tc>
          <w:tcPr>
            <w:tcW w:w="3081" w:type="dxa"/>
            <w:vAlign w:val="center"/>
          </w:tcPr>
          <w:p>
            <w:pPr>
              <w:tabs>
                <w:tab w:val="left" w:pos="6300"/>
              </w:tabs>
              <w:snapToGrid w:val="0"/>
              <w:spacing w:line="500" w:lineRule="exact"/>
              <w:jc w:val="center"/>
              <w:outlineLvl w:val="0"/>
              <w:rPr>
                <w:rFonts w:ascii="宋体" w:hAnsi="宋体" w:cs="宋体"/>
                <w:color w:val="auto"/>
                <w:sz w:val="21"/>
                <w:szCs w:val="21"/>
              </w:rPr>
            </w:pPr>
          </w:p>
        </w:tc>
        <w:tc>
          <w:tcPr>
            <w:tcW w:w="2308" w:type="dxa"/>
            <w:vAlign w:val="center"/>
          </w:tcPr>
          <w:p>
            <w:pPr>
              <w:tabs>
                <w:tab w:val="left" w:pos="6300"/>
              </w:tabs>
              <w:snapToGrid w:val="0"/>
              <w:spacing w:line="500" w:lineRule="exact"/>
              <w:jc w:val="center"/>
              <w:outlineLvl w:val="0"/>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宋体" w:hAnsi="宋体" w:cs="宋体"/>
                <w:color w:val="auto"/>
                <w:sz w:val="21"/>
                <w:szCs w:val="21"/>
              </w:rPr>
            </w:pPr>
          </w:p>
        </w:tc>
        <w:tc>
          <w:tcPr>
            <w:tcW w:w="2968" w:type="dxa"/>
            <w:vAlign w:val="center"/>
          </w:tcPr>
          <w:p>
            <w:pPr>
              <w:tabs>
                <w:tab w:val="left" w:pos="6300"/>
              </w:tabs>
              <w:snapToGrid w:val="0"/>
              <w:spacing w:line="500" w:lineRule="exact"/>
              <w:jc w:val="center"/>
              <w:outlineLvl w:val="0"/>
              <w:rPr>
                <w:rFonts w:ascii="宋体" w:hAnsi="宋体" w:cs="宋体"/>
                <w:color w:val="auto"/>
                <w:sz w:val="21"/>
                <w:szCs w:val="21"/>
              </w:rPr>
            </w:pPr>
          </w:p>
        </w:tc>
        <w:tc>
          <w:tcPr>
            <w:tcW w:w="3081" w:type="dxa"/>
            <w:vAlign w:val="center"/>
          </w:tcPr>
          <w:p>
            <w:pPr>
              <w:tabs>
                <w:tab w:val="left" w:pos="6300"/>
              </w:tabs>
              <w:snapToGrid w:val="0"/>
              <w:spacing w:line="500" w:lineRule="exact"/>
              <w:jc w:val="center"/>
              <w:outlineLvl w:val="0"/>
              <w:rPr>
                <w:rFonts w:ascii="宋体" w:hAnsi="宋体" w:cs="宋体"/>
                <w:color w:val="auto"/>
                <w:sz w:val="21"/>
                <w:szCs w:val="21"/>
              </w:rPr>
            </w:pPr>
          </w:p>
        </w:tc>
        <w:tc>
          <w:tcPr>
            <w:tcW w:w="2308" w:type="dxa"/>
            <w:vAlign w:val="center"/>
          </w:tcPr>
          <w:p>
            <w:pPr>
              <w:tabs>
                <w:tab w:val="left" w:pos="6300"/>
              </w:tabs>
              <w:snapToGrid w:val="0"/>
              <w:spacing w:line="500" w:lineRule="exact"/>
              <w:jc w:val="center"/>
              <w:outlineLvl w:val="0"/>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宋体" w:hAnsi="宋体" w:cs="宋体"/>
                <w:color w:val="auto"/>
                <w:sz w:val="21"/>
                <w:szCs w:val="21"/>
              </w:rPr>
            </w:pPr>
          </w:p>
        </w:tc>
        <w:tc>
          <w:tcPr>
            <w:tcW w:w="2968" w:type="dxa"/>
            <w:vAlign w:val="center"/>
          </w:tcPr>
          <w:p>
            <w:pPr>
              <w:tabs>
                <w:tab w:val="left" w:pos="6300"/>
              </w:tabs>
              <w:snapToGrid w:val="0"/>
              <w:spacing w:line="500" w:lineRule="exact"/>
              <w:jc w:val="center"/>
              <w:outlineLvl w:val="0"/>
              <w:rPr>
                <w:rFonts w:ascii="宋体" w:hAnsi="宋体" w:cs="宋体"/>
                <w:color w:val="auto"/>
                <w:sz w:val="21"/>
                <w:szCs w:val="21"/>
              </w:rPr>
            </w:pPr>
          </w:p>
        </w:tc>
        <w:tc>
          <w:tcPr>
            <w:tcW w:w="3081" w:type="dxa"/>
            <w:vAlign w:val="center"/>
          </w:tcPr>
          <w:p>
            <w:pPr>
              <w:tabs>
                <w:tab w:val="left" w:pos="6300"/>
              </w:tabs>
              <w:snapToGrid w:val="0"/>
              <w:spacing w:line="500" w:lineRule="exact"/>
              <w:jc w:val="center"/>
              <w:outlineLvl w:val="0"/>
              <w:rPr>
                <w:rFonts w:ascii="宋体" w:hAnsi="宋体" w:cs="宋体"/>
                <w:color w:val="auto"/>
                <w:sz w:val="21"/>
                <w:szCs w:val="21"/>
              </w:rPr>
            </w:pPr>
          </w:p>
        </w:tc>
        <w:tc>
          <w:tcPr>
            <w:tcW w:w="2308" w:type="dxa"/>
            <w:vAlign w:val="center"/>
          </w:tcPr>
          <w:p>
            <w:pPr>
              <w:tabs>
                <w:tab w:val="left" w:pos="6300"/>
              </w:tabs>
              <w:snapToGrid w:val="0"/>
              <w:spacing w:line="500" w:lineRule="exact"/>
              <w:jc w:val="center"/>
              <w:outlineLvl w:val="0"/>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宋体" w:hAnsi="宋体" w:cs="宋体"/>
                <w:color w:val="auto"/>
                <w:sz w:val="21"/>
                <w:szCs w:val="21"/>
              </w:rPr>
            </w:pPr>
          </w:p>
        </w:tc>
        <w:tc>
          <w:tcPr>
            <w:tcW w:w="2968" w:type="dxa"/>
            <w:vAlign w:val="center"/>
          </w:tcPr>
          <w:p>
            <w:pPr>
              <w:tabs>
                <w:tab w:val="left" w:pos="6300"/>
              </w:tabs>
              <w:snapToGrid w:val="0"/>
              <w:spacing w:line="500" w:lineRule="exact"/>
              <w:jc w:val="center"/>
              <w:outlineLvl w:val="0"/>
              <w:rPr>
                <w:rFonts w:ascii="宋体" w:hAnsi="宋体" w:cs="宋体"/>
                <w:color w:val="auto"/>
                <w:sz w:val="21"/>
                <w:szCs w:val="21"/>
              </w:rPr>
            </w:pPr>
          </w:p>
        </w:tc>
        <w:tc>
          <w:tcPr>
            <w:tcW w:w="3081" w:type="dxa"/>
            <w:vAlign w:val="center"/>
          </w:tcPr>
          <w:p>
            <w:pPr>
              <w:tabs>
                <w:tab w:val="left" w:pos="6300"/>
              </w:tabs>
              <w:snapToGrid w:val="0"/>
              <w:spacing w:line="500" w:lineRule="exact"/>
              <w:jc w:val="center"/>
              <w:outlineLvl w:val="0"/>
              <w:rPr>
                <w:rFonts w:ascii="宋体" w:hAnsi="宋体" w:cs="宋体"/>
                <w:color w:val="auto"/>
                <w:sz w:val="21"/>
                <w:szCs w:val="21"/>
              </w:rPr>
            </w:pPr>
          </w:p>
        </w:tc>
        <w:tc>
          <w:tcPr>
            <w:tcW w:w="2308" w:type="dxa"/>
            <w:vAlign w:val="center"/>
          </w:tcPr>
          <w:p>
            <w:pPr>
              <w:tabs>
                <w:tab w:val="left" w:pos="6300"/>
              </w:tabs>
              <w:snapToGrid w:val="0"/>
              <w:spacing w:line="500" w:lineRule="exact"/>
              <w:jc w:val="center"/>
              <w:outlineLvl w:val="0"/>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宋体" w:hAnsi="宋体" w:cs="宋体"/>
                <w:color w:val="auto"/>
                <w:sz w:val="21"/>
                <w:szCs w:val="21"/>
              </w:rPr>
            </w:pPr>
          </w:p>
        </w:tc>
        <w:tc>
          <w:tcPr>
            <w:tcW w:w="2968" w:type="dxa"/>
            <w:vAlign w:val="center"/>
          </w:tcPr>
          <w:p>
            <w:pPr>
              <w:tabs>
                <w:tab w:val="left" w:pos="6300"/>
              </w:tabs>
              <w:snapToGrid w:val="0"/>
              <w:spacing w:line="500" w:lineRule="exact"/>
              <w:jc w:val="center"/>
              <w:outlineLvl w:val="0"/>
              <w:rPr>
                <w:rFonts w:ascii="宋体" w:hAnsi="宋体" w:cs="宋体"/>
                <w:color w:val="auto"/>
                <w:sz w:val="21"/>
                <w:szCs w:val="21"/>
              </w:rPr>
            </w:pPr>
          </w:p>
        </w:tc>
        <w:tc>
          <w:tcPr>
            <w:tcW w:w="3081" w:type="dxa"/>
            <w:vAlign w:val="center"/>
          </w:tcPr>
          <w:p>
            <w:pPr>
              <w:tabs>
                <w:tab w:val="left" w:pos="6300"/>
              </w:tabs>
              <w:snapToGrid w:val="0"/>
              <w:spacing w:line="500" w:lineRule="exact"/>
              <w:jc w:val="center"/>
              <w:outlineLvl w:val="0"/>
              <w:rPr>
                <w:rFonts w:ascii="宋体" w:hAnsi="宋体" w:cs="宋体"/>
                <w:color w:val="auto"/>
                <w:sz w:val="21"/>
                <w:szCs w:val="21"/>
              </w:rPr>
            </w:pPr>
          </w:p>
        </w:tc>
        <w:tc>
          <w:tcPr>
            <w:tcW w:w="2308" w:type="dxa"/>
            <w:vAlign w:val="center"/>
          </w:tcPr>
          <w:p>
            <w:pPr>
              <w:tabs>
                <w:tab w:val="left" w:pos="6300"/>
              </w:tabs>
              <w:snapToGrid w:val="0"/>
              <w:spacing w:line="500" w:lineRule="exact"/>
              <w:jc w:val="center"/>
              <w:outlineLvl w:val="0"/>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宋体" w:hAnsi="宋体" w:cs="宋体"/>
                <w:color w:val="auto"/>
                <w:sz w:val="21"/>
                <w:szCs w:val="21"/>
              </w:rPr>
            </w:pPr>
          </w:p>
        </w:tc>
        <w:tc>
          <w:tcPr>
            <w:tcW w:w="2968" w:type="dxa"/>
            <w:vAlign w:val="center"/>
          </w:tcPr>
          <w:p>
            <w:pPr>
              <w:tabs>
                <w:tab w:val="left" w:pos="6300"/>
              </w:tabs>
              <w:snapToGrid w:val="0"/>
              <w:spacing w:line="500" w:lineRule="exact"/>
              <w:jc w:val="center"/>
              <w:outlineLvl w:val="0"/>
              <w:rPr>
                <w:rFonts w:ascii="宋体" w:hAnsi="宋体" w:cs="宋体"/>
                <w:color w:val="auto"/>
                <w:sz w:val="21"/>
                <w:szCs w:val="21"/>
              </w:rPr>
            </w:pPr>
          </w:p>
        </w:tc>
        <w:tc>
          <w:tcPr>
            <w:tcW w:w="3081" w:type="dxa"/>
            <w:vAlign w:val="center"/>
          </w:tcPr>
          <w:p>
            <w:pPr>
              <w:tabs>
                <w:tab w:val="left" w:pos="6300"/>
              </w:tabs>
              <w:snapToGrid w:val="0"/>
              <w:spacing w:line="500" w:lineRule="exact"/>
              <w:jc w:val="center"/>
              <w:outlineLvl w:val="0"/>
              <w:rPr>
                <w:rFonts w:ascii="宋体" w:hAnsi="宋体" w:cs="宋体"/>
                <w:color w:val="auto"/>
                <w:sz w:val="21"/>
                <w:szCs w:val="21"/>
              </w:rPr>
            </w:pPr>
          </w:p>
        </w:tc>
        <w:tc>
          <w:tcPr>
            <w:tcW w:w="2308" w:type="dxa"/>
            <w:vAlign w:val="center"/>
          </w:tcPr>
          <w:p>
            <w:pPr>
              <w:tabs>
                <w:tab w:val="left" w:pos="6300"/>
              </w:tabs>
              <w:snapToGrid w:val="0"/>
              <w:spacing w:line="500" w:lineRule="exact"/>
              <w:jc w:val="center"/>
              <w:outlineLvl w:val="0"/>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宋体" w:hAnsi="宋体" w:cs="宋体"/>
                <w:color w:val="auto"/>
                <w:sz w:val="21"/>
                <w:szCs w:val="21"/>
              </w:rPr>
            </w:pPr>
          </w:p>
        </w:tc>
        <w:tc>
          <w:tcPr>
            <w:tcW w:w="2968" w:type="dxa"/>
            <w:vAlign w:val="center"/>
          </w:tcPr>
          <w:p>
            <w:pPr>
              <w:tabs>
                <w:tab w:val="left" w:pos="6300"/>
              </w:tabs>
              <w:snapToGrid w:val="0"/>
              <w:spacing w:line="500" w:lineRule="exact"/>
              <w:jc w:val="center"/>
              <w:outlineLvl w:val="0"/>
              <w:rPr>
                <w:rFonts w:ascii="宋体" w:hAnsi="宋体" w:cs="宋体"/>
                <w:color w:val="auto"/>
                <w:sz w:val="21"/>
                <w:szCs w:val="21"/>
              </w:rPr>
            </w:pPr>
          </w:p>
        </w:tc>
        <w:tc>
          <w:tcPr>
            <w:tcW w:w="3081" w:type="dxa"/>
            <w:vAlign w:val="center"/>
          </w:tcPr>
          <w:p>
            <w:pPr>
              <w:tabs>
                <w:tab w:val="left" w:pos="6300"/>
              </w:tabs>
              <w:snapToGrid w:val="0"/>
              <w:spacing w:line="500" w:lineRule="exact"/>
              <w:jc w:val="center"/>
              <w:outlineLvl w:val="0"/>
              <w:rPr>
                <w:rFonts w:ascii="宋体" w:hAnsi="宋体" w:cs="宋体"/>
                <w:color w:val="auto"/>
                <w:sz w:val="21"/>
                <w:szCs w:val="21"/>
              </w:rPr>
            </w:pPr>
          </w:p>
        </w:tc>
        <w:tc>
          <w:tcPr>
            <w:tcW w:w="2308" w:type="dxa"/>
            <w:vAlign w:val="center"/>
          </w:tcPr>
          <w:p>
            <w:pPr>
              <w:tabs>
                <w:tab w:val="left" w:pos="6300"/>
              </w:tabs>
              <w:snapToGrid w:val="0"/>
              <w:spacing w:line="500" w:lineRule="exact"/>
              <w:jc w:val="center"/>
              <w:outlineLvl w:val="0"/>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line="500" w:lineRule="exact"/>
              <w:jc w:val="center"/>
              <w:outlineLvl w:val="0"/>
              <w:rPr>
                <w:rFonts w:ascii="宋体" w:hAnsi="宋体" w:cs="宋体"/>
                <w:color w:val="auto"/>
                <w:sz w:val="21"/>
                <w:szCs w:val="21"/>
              </w:rPr>
            </w:pPr>
          </w:p>
        </w:tc>
        <w:tc>
          <w:tcPr>
            <w:tcW w:w="2968" w:type="dxa"/>
            <w:vAlign w:val="center"/>
          </w:tcPr>
          <w:p>
            <w:pPr>
              <w:tabs>
                <w:tab w:val="left" w:pos="6300"/>
              </w:tabs>
              <w:snapToGrid w:val="0"/>
              <w:spacing w:line="500" w:lineRule="exact"/>
              <w:jc w:val="center"/>
              <w:outlineLvl w:val="0"/>
              <w:rPr>
                <w:rFonts w:ascii="宋体" w:hAnsi="宋体" w:cs="宋体"/>
                <w:color w:val="auto"/>
                <w:sz w:val="21"/>
                <w:szCs w:val="21"/>
              </w:rPr>
            </w:pPr>
          </w:p>
        </w:tc>
        <w:tc>
          <w:tcPr>
            <w:tcW w:w="3081" w:type="dxa"/>
            <w:vAlign w:val="center"/>
          </w:tcPr>
          <w:p>
            <w:pPr>
              <w:tabs>
                <w:tab w:val="left" w:pos="6300"/>
              </w:tabs>
              <w:snapToGrid w:val="0"/>
              <w:spacing w:line="500" w:lineRule="exact"/>
              <w:jc w:val="center"/>
              <w:outlineLvl w:val="0"/>
              <w:rPr>
                <w:rFonts w:ascii="宋体" w:hAnsi="宋体" w:cs="宋体"/>
                <w:color w:val="auto"/>
                <w:sz w:val="21"/>
                <w:szCs w:val="21"/>
              </w:rPr>
            </w:pPr>
          </w:p>
        </w:tc>
        <w:tc>
          <w:tcPr>
            <w:tcW w:w="2308" w:type="dxa"/>
            <w:vAlign w:val="center"/>
          </w:tcPr>
          <w:p>
            <w:pPr>
              <w:tabs>
                <w:tab w:val="left" w:pos="6300"/>
              </w:tabs>
              <w:snapToGrid w:val="0"/>
              <w:spacing w:line="500" w:lineRule="exact"/>
              <w:jc w:val="center"/>
              <w:outlineLvl w:val="0"/>
              <w:rPr>
                <w:rFonts w:ascii="宋体" w:hAnsi="宋体" w:cs="宋体"/>
                <w:color w:val="auto"/>
                <w:sz w:val="21"/>
                <w:szCs w:val="21"/>
              </w:rPr>
            </w:pPr>
          </w:p>
        </w:tc>
      </w:tr>
    </w:tbl>
    <w:p>
      <w:pPr>
        <w:spacing w:line="500" w:lineRule="exact"/>
        <w:ind w:firstLine="600" w:firstLineChars="250"/>
        <w:rPr>
          <w:rFonts w:ascii="宋体" w:hAnsi="宋体" w:cs="宋体"/>
          <w:color w:val="auto"/>
          <w:sz w:val="24"/>
          <w:szCs w:val="28"/>
        </w:rPr>
      </w:pPr>
      <w:r>
        <w:rPr>
          <w:rFonts w:hint="eastAsia" w:ascii="宋体" w:hAnsi="宋体" w:cs="宋体"/>
          <w:color w:val="auto"/>
          <w:sz w:val="24"/>
          <w:szCs w:val="28"/>
        </w:rPr>
        <w:t>供应商：                                      法定代表人授权代表：</w:t>
      </w:r>
    </w:p>
    <w:p>
      <w:pPr>
        <w:spacing w:line="500" w:lineRule="exact"/>
        <w:rPr>
          <w:rFonts w:ascii="宋体" w:hAnsi="宋体" w:cs="宋体"/>
          <w:color w:val="auto"/>
          <w:sz w:val="24"/>
          <w:szCs w:val="28"/>
        </w:rPr>
      </w:pPr>
    </w:p>
    <w:p>
      <w:pPr>
        <w:spacing w:line="500" w:lineRule="exact"/>
        <w:ind w:firstLine="720" w:firstLineChars="300"/>
        <w:rPr>
          <w:rFonts w:ascii="宋体" w:hAnsi="宋体" w:cs="宋体"/>
          <w:color w:val="auto"/>
          <w:sz w:val="24"/>
          <w:szCs w:val="28"/>
        </w:rPr>
      </w:pPr>
      <w:r>
        <w:rPr>
          <w:rFonts w:hint="eastAsia" w:ascii="宋体" w:hAnsi="宋体" w:cs="宋体"/>
          <w:color w:val="auto"/>
          <w:sz w:val="24"/>
          <w:szCs w:val="28"/>
        </w:rPr>
        <w:t>（供应商公章）                               （签字或盖章）</w:t>
      </w: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szCs w:val="28"/>
        </w:rPr>
        <w:t xml:space="preserve">                                              年     月     日</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注：</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szCs w:val="24"/>
        </w:rPr>
        <w:t>1</w:t>
      </w:r>
      <w:r>
        <w:rPr>
          <w:rFonts w:hint="eastAsia" w:ascii="宋体" w:hAnsi="宋体" w:cs="宋体"/>
          <w:color w:val="auto"/>
          <w:sz w:val="24"/>
        </w:rPr>
        <w:t>.本表即为对本项目“第二篇  采购项目需求”中所列服务要求进行比较和响应；</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3.该表可扩展；</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4.可附相关支撑材料。（格式自定）</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5.若“响应情况”栏中仅填写“无偏离”或“有偏离”等内容而未作实质性参数描述，该供应商将</w:t>
      </w:r>
      <w:r>
        <w:rPr>
          <w:rFonts w:hint="eastAsia" w:ascii="宋体" w:hAnsi="宋体" w:cs="宋体"/>
          <w:color w:val="auto"/>
          <w:sz w:val="24"/>
          <w:szCs w:val="24"/>
        </w:rPr>
        <w:t>失去成为成交供应商的资格，仅保留其合格供应商的身份。</w:t>
      </w:r>
    </w:p>
    <w:p>
      <w:pPr>
        <w:rPr>
          <w:rFonts w:ascii="宋体" w:hAnsi="宋体" w:cs="宋体"/>
          <w:color w:val="auto"/>
        </w:rPr>
      </w:pPr>
      <w:r>
        <w:rPr>
          <w:rFonts w:hint="eastAsia" w:ascii="宋体" w:hAnsi="宋体" w:cs="宋体"/>
          <w:color w:val="auto"/>
        </w:rPr>
        <w:br w:type="page"/>
      </w:r>
    </w:p>
    <w:p>
      <w:pPr>
        <w:pStyle w:val="4"/>
        <w:spacing w:before="0" w:after="0" w:line="360" w:lineRule="auto"/>
        <w:rPr>
          <w:rFonts w:ascii="宋体" w:hAnsi="宋体" w:cs="宋体"/>
          <w:color w:val="auto"/>
          <w:sz w:val="24"/>
          <w:szCs w:val="24"/>
        </w:rPr>
      </w:pPr>
      <w:bookmarkStart w:id="76" w:name="_Toc14108"/>
      <w:bookmarkStart w:id="77" w:name="_Toc313008358"/>
      <w:bookmarkStart w:id="78" w:name="_Toc342913421"/>
      <w:bookmarkStart w:id="79" w:name="_Toc313888362"/>
      <w:r>
        <w:rPr>
          <w:rFonts w:hint="eastAsia" w:ascii="宋体" w:hAnsi="宋体" w:cs="宋体"/>
          <w:color w:val="auto"/>
          <w:sz w:val="24"/>
          <w:szCs w:val="24"/>
        </w:rPr>
        <w:t>三、商务部分</w:t>
      </w:r>
      <w:bookmarkEnd w:id="76"/>
      <w:bookmarkEnd w:id="77"/>
      <w:bookmarkEnd w:id="78"/>
      <w:bookmarkEnd w:id="79"/>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（一）</w:t>
      </w:r>
      <w:bookmarkStart w:id="80" w:name="_Toc283382459"/>
      <w:r>
        <w:rPr>
          <w:rFonts w:hint="eastAsia" w:ascii="宋体" w:hAnsi="宋体" w:cs="宋体"/>
          <w:color w:val="auto"/>
          <w:sz w:val="24"/>
          <w:szCs w:val="24"/>
        </w:rPr>
        <w:t>商务响应偏离表</w:t>
      </w:r>
    </w:p>
    <w:p>
      <w:pPr>
        <w:snapToGrid w:val="0"/>
        <w:spacing w:line="360" w:lineRule="auto"/>
        <w:jc w:val="center"/>
        <w:rPr>
          <w:rFonts w:ascii="宋体" w:hAnsi="宋体" w:cs="宋体"/>
          <w:b/>
          <w:color w:val="auto"/>
          <w:sz w:val="24"/>
          <w:szCs w:val="24"/>
        </w:rPr>
      </w:pPr>
      <w:r>
        <w:rPr>
          <w:rFonts w:hint="eastAsia" w:ascii="宋体" w:hAnsi="宋体" w:cs="宋体"/>
          <w:b/>
          <w:color w:val="auto"/>
          <w:sz w:val="24"/>
          <w:szCs w:val="24"/>
        </w:rPr>
        <w:t>商务响应偏离表</w:t>
      </w:r>
    </w:p>
    <w:p>
      <w:pPr>
        <w:spacing w:line="400" w:lineRule="exact"/>
        <w:ind w:firstLine="360" w:firstLineChars="150"/>
        <w:rPr>
          <w:rFonts w:ascii="宋体" w:hAnsi="宋体" w:cs="宋体"/>
          <w:color w:val="auto"/>
          <w:sz w:val="24"/>
          <w:szCs w:val="24"/>
        </w:rPr>
      </w:pPr>
      <w:r>
        <w:rPr>
          <w:rFonts w:hint="eastAsia" w:ascii="宋体" w:hAnsi="宋体" w:cs="宋体"/>
          <w:color w:val="auto"/>
          <w:sz w:val="24"/>
          <w:szCs w:val="24"/>
        </w:rPr>
        <w:t>磋商项目编号：</w:t>
      </w:r>
    </w:p>
    <w:tbl>
      <w:tblPr>
        <w:tblStyle w:val="17"/>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0" w:type="dxa"/>
            <w:vAlign w:val="center"/>
          </w:tcPr>
          <w:p>
            <w:pPr>
              <w:snapToGrid w:val="0"/>
              <w:spacing w:line="360" w:lineRule="auto"/>
              <w:ind w:firstLine="465"/>
              <w:rPr>
                <w:rFonts w:ascii="宋体" w:hAnsi="宋体" w:cs="宋体"/>
                <w:color w:val="auto"/>
                <w:sz w:val="21"/>
                <w:szCs w:val="24"/>
              </w:rPr>
            </w:pPr>
            <w:r>
              <w:rPr>
                <w:rFonts w:hint="eastAsia" w:ascii="宋体" w:hAnsi="宋体" w:cs="宋体"/>
                <w:color w:val="auto"/>
                <w:sz w:val="21"/>
                <w:szCs w:val="24"/>
              </w:rPr>
              <w:t>序号</w:t>
            </w:r>
          </w:p>
        </w:tc>
        <w:tc>
          <w:tcPr>
            <w:tcW w:w="3179" w:type="dxa"/>
            <w:vAlign w:val="center"/>
          </w:tcPr>
          <w:p>
            <w:pPr>
              <w:tabs>
                <w:tab w:val="left" w:pos="6300"/>
              </w:tabs>
              <w:snapToGrid w:val="0"/>
              <w:spacing w:line="360" w:lineRule="auto"/>
              <w:jc w:val="center"/>
              <w:outlineLvl w:val="0"/>
              <w:rPr>
                <w:rFonts w:ascii="宋体" w:hAnsi="宋体" w:cs="宋体"/>
                <w:color w:val="auto"/>
                <w:sz w:val="21"/>
                <w:szCs w:val="24"/>
              </w:rPr>
            </w:pPr>
            <w:r>
              <w:rPr>
                <w:rFonts w:hint="eastAsia" w:ascii="宋体" w:hAnsi="宋体" w:cs="宋体"/>
                <w:color w:val="auto"/>
                <w:sz w:val="21"/>
                <w:szCs w:val="24"/>
              </w:rPr>
              <w:t>磋商项目商务需求</w:t>
            </w:r>
          </w:p>
        </w:tc>
        <w:tc>
          <w:tcPr>
            <w:tcW w:w="2434" w:type="dxa"/>
            <w:vAlign w:val="center"/>
          </w:tcPr>
          <w:p>
            <w:pPr>
              <w:tabs>
                <w:tab w:val="left" w:pos="6300"/>
              </w:tabs>
              <w:snapToGrid w:val="0"/>
              <w:spacing w:line="360" w:lineRule="auto"/>
              <w:jc w:val="center"/>
              <w:outlineLvl w:val="0"/>
              <w:rPr>
                <w:rFonts w:ascii="宋体" w:hAnsi="宋体" w:cs="宋体"/>
                <w:color w:val="auto"/>
                <w:sz w:val="21"/>
                <w:szCs w:val="24"/>
              </w:rPr>
            </w:pPr>
            <w:r>
              <w:rPr>
                <w:rFonts w:hint="eastAsia" w:ascii="宋体" w:hAnsi="宋体" w:cs="宋体"/>
                <w:color w:val="auto"/>
                <w:sz w:val="21"/>
                <w:szCs w:val="24"/>
              </w:rPr>
              <w:t>响应情况</w:t>
            </w:r>
          </w:p>
        </w:tc>
        <w:tc>
          <w:tcPr>
            <w:tcW w:w="2355" w:type="dxa"/>
            <w:vAlign w:val="center"/>
          </w:tcPr>
          <w:p>
            <w:pPr>
              <w:tabs>
                <w:tab w:val="left" w:pos="6300"/>
              </w:tabs>
              <w:snapToGrid w:val="0"/>
              <w:spacing w:line="360" w:lineRule="auto"/>
              <w:jc w:val="center"/>
              <w:outlineLvl w:val="0"/>
              <w:rPr>
                <w:rFonts w:ascii="宋体" w:hAnsi="宋体" w:cs="宋体"/>
                <w:color w:val="auto"/>
                <w:sz w:val="21"/>
                <w:szCs w:val="24"/>
              </w:rPr>
            </w:pPr>
            <w:r>
              <w:rPr>
                <w:rFonts w:hint="eastAsia" w:ascii="宋体" w:hAnsi="宋体" w:cs="宋体"/>
                <w:color w:val="auto"/>
                <w:sz w:val="21"/>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宋体" w:hAnsi="宋体" w:cs="宋体"/>
                <w:color w:val="auto"/>
                <w:sz w:val="21"/>
                <w:szCs w:val="24"/>
              </w:rPr>
            </w:pPr>
          </w:p>
        </w:tc>
        <w:tc>
          <w:tcPr>
            <w:tcW w:w="3179" w:type="dxa"/>
            <w:vAlign w:val="center"/>
          </w:tcPr>
          <w:p>
            <w:pPr>
              <w:tabs>
                <w:tab w:val="left" w:pos="6300"/>
              </w:tabs>
              <w:snapToGrid w:val="0"/>
              <w:spacing w:line="360" w:lineRule="auto"/>
              <w:jc w:val="center"/>
              <w:outlineLvl w:val="0"/>
              <w:rPr>
                <w:rFonts w:ascii="宋体" w:hAnsi="宋体" w:cs="宋体"/>
                <w:color w:val="auto"/>
                <w:sz w:val="21"/>
                <w:szCs w:val="24"/>
              </w:rPr>
            </w:pPr>
          </w:p>
        </w:tc>
        <w:tc>
          <w:tcPr>
            <w:tcW w:w="2434" w:type="dxa"/>
            <w:vAlign w:val="center"/>
          </w:tcPr>
          <w:p>
            <w:pPr>
              <w:tabs>
                <w:tab w:val="left" w:pos="6300"/>
              </w:tabs>
              <w:snapToGrid w:val="0"/>
              <w:spacing w:line="360" w:lineRule="auto"/>
              <w:jc w:val="center"/>
              <w:outlineLvl w:val="0"/>
              <w:rPr>
                <w:rFonts w:ascii="宋体" w:hAnsi="宋体" w:cs="宋体"/>
                <w:color w:val="auto"/>
                <w:sz w:val="21"/>
                <w:szCs w:val="24"/>
              </w:rPr>
            </w:pPr>
          </w:p>
        </w:tc>
        <w:tc>
          <w:tcPr>
            <w:tcW w:w="2355" w:type="dxa"/>
            <w:vAlign w:val="center"/>
          </w:tcPr>
          <w:p>
            <w:pPr>
              <w:tabs>
                <w:tab w:val="left" w:pos="6300"/>
              </w:tabs>
              <w:snapToGrid w:val="0"/>
              <w:spacing w:line="360" w:lineRule="auto"/>
              <w:jc w:val="center"/>
              <w:outlineLvl w:val="0"/>
              <w:rPr>
                <w:rFonts w:ascii="宋体" w:hAnsi="宋体" w:cs="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宋体" w:hAnsi="宋体" w:cs="宋体"/>
                <w:color w:val="auto"/>
                <w:sz w:val="21"/>
                <w:szCs w:val="24"/>
              </w:rPr>
            </w:pPr>
          </w:p>
        </w:tc>
        <w:tc>
          <w:tcPr>
            <w:tcW w:w="3179" w:type="dxa"/>
            <w:vAlign w:val="center"/>
          </w:tcPr>
          <w:p>
            <w:pPr>
              <w:tabs>
                <w:tab w:val="left" w:pos="6300"/>
              </w:tabs>
              <w:snapToGrid w:val="0"/>
              <w:spacing w:line="360" w:lineRule="auto"/>
              <w:jc w:val="center"/>
              <w:outlineLvl w:val="0"/>
              <w:rPr>
                <w:rFonts w:ascii="宋体" w:hAnsi="宋体" w:cs="宋体"/>
                <w:color w:val="auto"/>
                <w:sz w:val="21"/>
                <w:szCs w:val="24"/>
              </w:rPr>
            </w:pPr>
          </w:p>
        </w:tc>
        <w:tc>
          <w:tcPr>
            <w:tcW w:w="2434" w:type="dxa"/>
            <w:vAlign w:val="center"/>
          </w:tcPr>
          <w:p>
            <w:pPr>
              <w:tabs>
                <w:tab w:val="left" w:pos="6300"/>
              </w:tabs>
              <w:snapToGrid w:val="0"/>
              <w:spacing w:line="360" w:lineRule="auto"/>
              <w:jc w:val="center"/>
              <w:outlineLvl w:val="0"/>
              <w:rPr>
                <w:rFonts w:ascii="宋体" w:hAnsi="宋体" w:cs="宋体"/>
                <w:color w:val="auto"/>
                <w:sz w:val="21"/>
                <w:szCs w:val="24"/>
              </w:rPr>
            </w:pPr>
          </w:p>
        </w:tc>
        <w:tc>
          <w:tcPr>
            <w:tcW w:w="2355" w:type="dxa"/>
            <w:vAlign w:val="center"/>
          </w:tcPr>
          <w:p>
            <w:pPr>
              <w:tabs>
                <w:tab w:val="left" w:pos="6300"/>
              </w:tabs>
              <w:snapToGrid w:val="0"/>
              <w:spacing w:line="360" w:lineRule="auto"/>
              <w:jc w:val="center"/>
              <w:outlineLvl w:val="0"/>
              <w:rPr>
                <w:rFonts w:ascii="宋体" w:hAnsi="宋体" w:cs="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宋体" w:hAnsi="宋体" w:cs="宋体"/>
                <w:color w:val="auto"/>
                <w:sz w:val="21"/>
                <w:szCs w:val="24"/>
              </w:rPr>
            </w:pPr>
          </w:p>
        </w:tc>
        <w:tc>
          <w:tcPr>
            <w:tcW w:w="3179" w:type="dxa"/>
            <w:vAlign w:val="center"/>
          </w:tcPr>
          <w:p>
            <w:pPr>
              <w:tabs>
                <w:tab w:val="left" w:pos="6300"/>
              </w:tabs>
              <w:snapToGrid w:val="0"/>
              <w:spacing w:line="360" w:lineRule="auto"/>
              <w:jc w:val="center"/>
              <w:outlineLvl w:val="0"/>
              <w:rPr>
                <w:rFonts w:ascii="宋体" w:hAnsi="宋体" w:cs="宋体"/>
                <w:color w:val="auto"/>
                <w:sz w:val="21"/>
                <w:szCs w:val="24"/>
              </w:rPr>
            </w:pPr>
          </w:p>
        </w:tc>
        <w:tc>
          <w:tcPr>
            <w:tcW w:w="2434" w:type="dxa"/>
            <w:vAlign w:val="center"/>
          </w:tcPr>
          <w:p>
            <w:pPr>
              <w:tabs>
                <w:tab w:val="left" w:pos="6300"/>
              </w:tabs>
              <w:snapToGrid w:val="0"/>
              <w:spacing w:line="360" w:lineRule="auto"/>
              <w:jc w:val="center"/>
              <w:outlineLvl w:val="0"/>
              <w:rPr>
                <w:rFonts w:ascii="宋体" w:hAnsi="宋体" w:cs="宋体"/>
                <w:color w:val="auto"/>
                <w:sz w:val="21"/>
                <w:szCs w:val="24"/>
              </w:rPr>
            </w:pPr>
          </w:p>
        </w:tc>
        <w:tc>
          <w:tcPr>
            <w:tcW w:w="2355" w:type="dxa"/>
            <w:vAlign w:val="center"/>
          </w:tcPr>
          <w:p>
            <w:pPr>
              <w:tabs>
                <w:tab w:val="left" w:pos="6300"/>
              </w:tabs>
              <w:snapToGrid w:val="0"/>
              <w:spacing w:line="360" w:lineRule="auto"/>
              <w:jc w:val="center"/>
              <w:outlineLvl w:val="0"/>
              <w:rPr>
                <w:rFonts w:ascii="宋体" w:hAnsi="宋体" w:cs="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宋体" w:hAnsi="宋体" w:cs="宋体"/>
                <w:color w:val="auto"/>
                <w:sz w:val="21"/>
                <w:szCs w:val="24"/>
              </w:rPr>
            </w:pPr>
          </w:p>
        </w:tc>
        <w:tc>
          <w:tcPr>
            <w:tcW w:w="3179" w:type="dxa"/>
            <w:vAlign w:val="center"/>
          </w:tcPr>
          <w:p>
            <w:pPr>
              <w:tabs>
                <w:tab w:val="left" w:pos="6300"/>
              </w:tabs>
              <w:snapToGrid w:val="0"/>
              <w:spacing w:line="360" w:lineRule="auto"/>
              <w:jc w:val="center"/>
              <w:outlineLvl w:val="0"/>
              <w:rPr>
                <w:rFonts w:ascii="宋体" w:hAnsi="宋体" w:cs="宋体"/>
                <w:color w:val="auto"/>
                <w:sz w:val="21"/>
                <w:szCs w:val="24"/>
              </w:rPr>
            </w:pPr>
          </w:p>
        </w:tc>
        <w:tc>
          <w:tcPr>
            <w:tcW w:w="2434" w:type="dxa"/>
            <w:vAlign w:val="center"/>
          </w:tcPr>
          <w:p>
            <w:pPr>
              <w:tabs>
                <w:tab w:val="left" w:pos="6300"/>
              </w:tabs>
              <w:snapToGrid w:val="0"/>
              <w:spacing w:line="360" w:lineRule="auto"/>
              <w:jc w:val="center"/>
              <w:outlineLvl w:val="0"/>
              <w:rPr>
                <w:rFonts w:ascii="宋体" w:hAnsi="宋体" w:cs="宋体"/>
                <w:color w:val="auto"/>
                <w:sz w:val="21"/>
                <w:szCs w:val="24"/>
              </w:rPr>
            </w:pPr>
          </w:p>
        </w:tc>
        <w:tc>
          <w:tcPr>
            <w:tcW w:w="2355" w:type="dxa"/>
            <w:vAlign w:val="center"/>
          </w:tcPr>
          <w:p>
            <w:pPr>
              <w:tabs>
                <w:tab w:val="left" w:pos="6300"/>
              </w:tabs>
              <w:snapToGrid w:val="0"/>
              <w:spacing w:line="360" w:lineRule="auto"/>
              <w:jc w:val="center"/>
              <w:outlineLvl w:val="0"/>
              <w:rPr>
                <w:rFonts w:ascii="宋体" w:hAnsi="宋体" w:cs="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宋体" w:hAnsi="宋体" w:cs="宋体"/>
                <w:color w:val="auto"/>
                <w:sz w:val="21"/>
                <w:szCs w:val="24"/>
              </w:rPr>
            </w:pPr>
          </w:p>
        </w:tc>
        <w:tc>
          <w:tcPr>
            <w:tcW w:w="3179" w:type="dxa"/>
            <w:vAlign w:val="center"/>
          </w:tcPr>
          <w:p>
            <w:pPr>
              <w:tabs>
                <w:tab w:val="left" w:pos="6300"/>
              </w:tabs>
              <w:snapToGrid w:val="0"/>
              <w:spacing w:line="360" w:lineRule="auto"/>
              <w:jc w:val="center"/>
              <w:outlineLvl w:val="0"/>
              <w:rPr>
                <w:rFonts w:ascii="宋体" w:hAnsi="宋体" w:cs="宋体"/>
                <w:color w:val="auto"/>
                <w:sz w:val="21"/>
                <w:szCs w:val="24"/>
              </w:rPr>
            </w:pPr>
          </w:p>
        </w:tc>
        <w:tc>
          <w:tcPr>
            <w:tcW w:w="2434" w:type="dxa"/>
            <w:vAlign w:val="center"/>
          </w:tcPr>
          <w:p>
            <w:pPr>
              <w:tabs>
                <w:tab w:val="left" w:pos="6300"/>
              </w:tabs>
              <w:snapToGrid w:val="0"/>
              <w:spacing w:line="360" w:lineRule="auto"/>
              <w:jc w:val="center"/>
              <w:outlineLvl w:val="0"/>
              <w:rPr>
                <w:rFonts w:ascii="宋体" w:hAnsi="宋体" w:cs="宋体"/>
                <w:color w:val="auto"/>
                <w:sz w:val="21"/>
                <w:szCs w:val="24"/>
              </w:rPr>
            </w:pPr>
          </w:p>
        </w:tc>
        <w:tc>
          <w:tcPr>
            <w:tcW w:w="2355" w:type="dxa"/>
            <w:vAlign w:val="center"/>
          </w:tcPr>
          <w:p>
            <w:pPr>
              <w:tabs>
                <w:tab w:val="left" w:pos="6300"/>
              </w:tabs>
              <w:snapToGrid w:val="0"/>
              <w:spacing w:line="360" w:lineRule="auto"/>
              <w:jc w:val="center"/>
              <w:outlineLvl w:val="0"/>
              <w:rPr>
                <w:rFonts w:ascii="宋体" w:hAnsi="宋体" w:cs="宋体"/>
                <w:color w:val="auto"/>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line="360" w:lineRule="auto"/>
              <w:jc w:val="center"/>
              <w:outlineLvl w:val="0"/>
              <w:rPr>
                <w:rFonts w:ascii="宋体" w:hAnsi="宋体" w:cs="宋体"/>
                <w:color w:val="auto"/>
                <w:sz w:val="21"/>
                <w:szCs w:val="24"/>
              </w:rPr>
            </w:pPr>
          </w:p>
        </w:tc>
        <w:tc>
          <w:tcPr>
            <w:tcW w:w="3179" w:type="dxa"/>
            <w:vAlign w:val="center"/>
          </w:tcPr>
          <w:p>
            <w:pPr>
              <w:tabs>
                <w:tab w:val="left" w:pos="6300"/>
              </w:tabs>
              <w:snapToGrid w:val="0"/>
              <w:spacing w:line="360" w:lineRule="auto"/>
              <w:jc w:val="center"/>
              <w:outlineLvl w:val="0"/>
              <w:rPr>
                <w:rFonts w:ascii="宋体" w:hAnsi="宋体" w:cs="宋体"/>
                <w:color w:val="auto"/>
                <w:sz w:val="21"/>
                <w:szCs w:val="24"/>
              </w:rPr>
            </w:pPr>
          </w:p>
        </w:tc>
        <w:tc>
          <w:tcPr>
            <w:tcW w:w="2434" w:type="dxa"/>
            <w:vAlign w:val="center"/>
          </w:tcPr>
          <w:p>
            <w:pPr>
              <w:tabs>
                <w:tab w:val="left" w:pos="6300"/>
              </w:tabs>
              <w:snapToGrid w:val="0"/>
              <w:spacing w:line="360" w:lineRule="auto"/>
              <w:jc w:val="center"/>
              <w:outlineLvl w:val="0"/>
              <w:rPr>
                <w:rFonts w:ascii="宋体" w:hAnsi="宋体" w:cs="宋体"/>
                <w:color w:val="auto"/>
                <w:sz w:val="21"/>
                <w:szCs w:val="24"/>
              </w:rPr>
            </w:pPr>
          </w:p>
        </w:tc>
        <w:tc>
          <w:tcPr>
            <w:tcW w:w="2355" w:type="dxa"/>
            <w:vAlign w:val="center"/>
          </w:tcPr>
          <w:p>
            <w:pPr>
              <w:tabs>
                <w:tab w:val="left" w:pos="6300"/>
              </w:tabs>
              <w:snapToGrid w:val="0"/>
              <w:spacing w:line="360" w:lineRule="auto"/>
              <w:jc w:val="center"/>
              <w:outlineLvl w:val="0"/>
              <w:rPr>
                <w:rFonts w:ascii="宋体" w:hAnsi="宋体" w:cs="宋体"/>
                <w:color w:val="auto"/>
                <w:sz w:val="21"/>
                <w:szCs w:val="24"/>
              </w:rPr>
            </w:pPr>
          </w:p>
        </w:tc>
      </w:tr>
    </w:tbl>
    <w:p>
      <w:pPr>
        <w:snapToGrid w:val="0"/>
        <w:spacing w:line="360" w:lineRule="auto"/>
        <w:ind w:firstLine="465"/>
        <w:rPr>
          <w:rFonts w:ascii="宋体" w:hAnsi="宋体" w:cs="宋体"/>
          <w:color w:val="auto"/>
          <w:sz w:val="24"/>
          <w:szCs w:val="24"/>
        </w:rPr>
      </w:pPr>
    </w:p>
    <w:p>
      <w:pPr>
        <w:spacing w:line="500" w:lineRule="exact"/>
        <w:ind w:firstLine="600" w:firstLineChars="250"/>
        <w:rPr>
          <w:rFonts w:ascii="宋体" w:hAnsi="宋体" w:cs="宋体"/>
          <w:color w:val="auto"/>
          <w:sz w:val="24"/>
          <w:szCs w:val="28"/>
        </w:rPr>
      </w:pPr>
      <w:r>
        <w:rPr>
          <w:rFonts w:hint="eastAsia" w:ascii="宋体" w:hAnsi="宋体" w:cs="宋体"/>
          <w:color w:val="auto"/>
          <w:sz w:val="24"/>
          <w:szCs w:val="28"/>
        </w:rPr>
        <w:t>供应商：                                      法定代表人授权代表：</w:t>
      </w:r>
    </w:p>
    <w:p>
      <w:pPr>
        <w:spacing w:line="500" w:lineRule="exact"/>
        <w:rPr>
          <w:rFonts w:ascii="宋体" w:hAnsi="宋体" w:cs="宋体"/>
          <w:color w:val="auto"/>
          <w:sz w:val="24"/>
          <w:szCs w:val="28"/>
        </w:rPr>
      </w:pPr>
    </w:p>
    <w:p>
      <w:pPr>
        <w:spacing w:line="500" w:lineRule="exact"/>
        <w:ind w:firstLine="360" w:firstLineChars="150"/>
        <w:rPr>
          <w:rFonts w:ascii="宋体" w:hAnsi="宋体" w:cs="宋体"/>
          <w:color w:val="auto"/>
          <w:sz w:val="24"/>
          <w:szCs w:val="28"/>
        </w:rPr>
      </w:pPr>
      <w:r>
        <w:rPr>
          <w:rFonts w:hint="eastAsia" w:ascii="宋体" w:hAnsi="宋体" w:cs="宋体"/>
          <w:color w:val="auto"/>
          <w:sz w:val="24"/>
          <w:szCs w:val="28"/>
        </w:rPr>
        <w:t>（供应商公章）                                 （签字或盖章）</w:t>
      </w: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szCs w:val="28"/>
        </w:rPr>
        <w:t xml:space="preserve">                                            年     月     日</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注：</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szCs w:val="24"/>
        </w:rPr>
        <w:t>1</w:t>
      </w:r>
      <w:r>
        <w:rPr>
          <w:rFonts w:hint="eastAsia" w:ascii="宋体" w:hAnsi="宋体" w:cs="宋体"/>
          <w:color w:val="auto"/>
          <w:sz w:val="24"/>
        </w:rPr>
        <w:t>.本表即为对本项目“第三篇 项目商务需求”中所列服务要求进行比较和响应；</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2.该表必须按照竞争性磋商要求逐条如实填写，根据响应情况在“差异说明”项填写正偏离或负偏离及原因，完全符合的填写“无差异”；</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3.该表可扩展。</w:t>
      </w:r>
    </w:p>
    <w:p>
      <w:pPr>
        <w:spacing w:line="360" w:lineRule="auto"/>
        <w:ind w:firstLine="560" w:firstLineChars="200"/>
        <w:rPr>
          <w:rFonts w:ascii="宋体" w:hAnsi="宋体" w:cs="宋体"/>
          <w:color w:val="auto"/>
          <w:sz w:val="24"/>
          <w:szCs w:val="24"/>
        </w:rPr>
      </w:pPr>
      <w:r>
        <w:rPr>
          <w:rFonts w:hint="eastAsia" w:ascii="宋体" w:hAnsi="宋体" w:cs="宋体"/>
          <w:color w:val="auto"/>
        </w:rPr>
        <w:br w:type="page"/>
      </w:r>
      <w:r>
        <w:rPr>
          <w:rFonts w:hint="eastAsia" w:ascii="宋体" w:hAnsi="宋体" w:cs="宋体"/>
          <w:color w:val="auto"/>
          <w:sz w:val="24"/>
          <w:szCs w:val="24"/>
        </w:rPr>
        <w:t>（二）其它优惠承诺（格式自定）</w:t>
      </w:r>
    </w:p>
    <w:p>
      <w:pPr>
        <w:pStyle w:val="4"/>
        <w:spacing w:before="0" w:after="0" w:line="360" w:lineRule="auto"/>
        <w:rPr>
          <w:rFonts w:ascii="宋体" w:hAnsi="宋体" w:cs="宋体"/>
          <w:color w:val="auto"/>
        </w:rPr>
      </w:pPr>
      <w:r>
        <w:rPr>
          <w:rFonts w:hint="eastAsia" w:ascii="宋体" w:hAnsi="宋体" w:cs="宋体"/>
          <w:color w:val="auto"/>
          <w:sz w:val="24"/>
          <w:szCs w:val="24"/>
        </w:rPr>
        <w:br w:type="page"/>
      </w:r>
      <w:bookmarkEnd w:id="80"/>
      <w:bookmarkStart w:id="81" w:name="_Toc31253"/>
      <w:bookmarkStart w:id="82" w:name="_Toc313888363"/>
      <w:bookmarkStart w:id="83" w:name="_Toc313008359"/>
      <w:bookmarkStart w:id="84" w:name="_Toc342913422"/>
      <w:r>
        <w:rPr>
          <w:rFonts w:hint="eastAsia" w:ascii="宋体" w:hAnsi="宋体" w:cs="宋体"/>
          <w:color w:val="auto"/>
          <w:sz w:val="24"/>
          <w:szCs w:val="24"/>
        </w:rPr>
        <w:t>四、资格条件及其他</w:t>
      </w:r>
      <w:bookmarkEnd w:id="81"/>
      <w:bookmarkEnd w:id="82"/>
      <w:bookmarkEnd w:id="83"/>
      <w:bookmarkEnd w:id="84"/>
    </w:p>
    <w:p>
      <w:pPr>
        <w:tabs>
          <w:tab w:val="left" w:pos="6300"/>
        </w:tabs>
        <w:snapToGrid w:val="0"/>
        <w:spacing w:line="500" w:lineRule="exact"/>
        <w:ind w:firstLine="570"/>
        <w:rPr>
          <w:rFonts w:ascii="宋体" w:hAnsi="宋体" w:cs="宋体"/>
          <w:color w:val="auto"/>
          <w:sz w:val="24"/>
          <w:szCs w:val="24"/>
        </w:rPr>
      </w:pPr>
      <w:r>
        <w:rPr>
          <w:rFonts w:hint="eastAsia" w:ascii="宋体" w:hAnsi="宋体" w:cs="宋体"/>
          <w:color w:val="auto"/>
          <w:sz w:val="24"/>
          <w:szCs w:val="24"/>
        </w:rPr>
        <w:t>（一）营业执照（副本）或事业单位法人证书（副本）复印件</w:t>
      </w:r>
    </w:p>
    <w:p>
      <w:pPr>
        <w:tabs>
          <w:tab w:val="left" w:pos="6300"/>
        </w:tabs>
        <w:snapToGrid w:val="0"/>
        <w:spacing w:line="500" w:lineRule="exact"/>
        <w:ind w:firstLine="570"/>
        <w:rPr>
          <w:rFonts w:ascii="宋体" w:hAnsi="宋体" w:cs="宋体"/>
          <w:color w:val="auto"/>
          <w:sz w:val="24"/>
          <w:szCs w:val="24"/>
        </w:rPr>
      </w:pPr>
    </w:p>
    <w:p>
      <w:pPr>
        <w:tabs>
          <w:tab w:val="left" w:pos="6300"/>
        </w:tabs>
        <w:snapToGrid w:val="0"/>
        <w:spacing w:line="500" w:lineRule="exact"/>
        <w:ind w:firstLine="570"/>
        <w:rPr>
          <w:rFonts w:ascii="宋体" w:hAnsi="宋体" w:cs="宋体"/>
          <w:color w:val="auto"/>
          <w:sz w:val="24"/>
          <w:szCs w:val="24"/>
        </w:rPr>
      </w:pPr>
      <w:r>
        <w:rPr>
          <w:rFonts w:hint="eastAsia" w:ascii="宋体" w:hAnsi="宋体" w:cs="宋体"/>
          <w:color w:val="auto"/>
          <w:sz w:val="24"/>
          <w:szCs w:val="24"/>
        </w:rPr>
        <w:t>（二）组织机构代码证复印件</w:t>
      </w:r>
    </w:p>
    <w:p>
      <w:pPr>
        <w:tabs>
          <w:tab w:val="left" w:pos="6300"/>
        </w:tabs>
        <w:snapToGrid w:val="0"/>
        <w:spacing w:line="500" w:lineRule="exact"/>
        <w:ind w:firstLine="570"/>
        <w:rPr>
          <w:rFonts w:ascii="宋体" w:hAnsi="宋体" w:cs="宋体"/>
          <w:color w:val="auto"/>
        </w:rPr>
      </w:pPr>
    </w:p>
    <w:p>
      <w:pPr>
        <w:tabs>
          <w:tab w:val="left" w:pos="6300"/>
        </w:tabs>
        <w:snapToGrid w:val="0"/>
        <w:spacing w:line="500" w:lineRule="exact"/>
        <w:ind w:firstLine="570"/>
        <w:rPr>
          <w:rFonts w:ascii="宋体" w:hAnsi="宋体" w:cs="宋体"/>
          <w:color w:val="auto"/>
        </w:rPr>
      </w:pPr>
    </w:p>
    <w:p>
      <w:pPr>
        <w:tabs>
          <w:tab w:val="left" w:pos="6300"/>
        </w:tabs>
        <w:snapToGrid w:val="0"/>
        <w:spacing w:line="500" w:lineRule="exact"/>
        <w:ind w:firstLine="570"/>
        <w:rPr>
          <w:rFonts w:ascii="宋体" w:hAnsi="宋体" w:cs="宋体"/>
          <w:color w:val="auto"/>
        </w:rPr>
      </w:pPr>
    </w:p>
    <w:p>
      <w:pPr>
        <w:widowControl/>
        <w:ind w:firstLine="560" w:firstLineChars="200"/>
        <w:jc w:val="left"/>
        <w:rPr>
          <w:rFonts w:ascii="宋体" w:hAnsi="宋体" w:cs="宋体"/>
          <w:color w:val="auto"/>
        </w:rPr>
      </w:pPr>
      <w:r>
        <w:rPr>
          <w:rFonts w:hint="eastAsia" w:ascii="宋体" w:hAnsi="宋体" w:cs="宋体"/>
          <w:color w:val="auto"/>
        </w:rPr>
        <w:br w:type="page"/>
      </w:r>
      <w:r>
        <w:rPr>
          <w:rFonts w:hint="eastAsia" w:ascii="宋体" w:hAnsi="宋体" w:cs="宋体"/>
          <w:color w:val="auto"/>
          <w:sz w:val="24"/>
          <w:szCs w:val="24"/>
        </w:rPr>
        <w:t>（三）法定代表人身份证明书（格式）</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致：（采购人名称）：</w:t>
      </w: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（法定代表人姓名）在（供应商名称）任（职务名称）职务，是（供应商名称）的法定代表人。</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特此证明。</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 xml:space="preserve">                                             （供应商公章）</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 xml:space="preserve">                                             年   月   日</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（附：法定代表人身份证正反面复印件）</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rPr>
      </w:pPr>
      <w:r>
        <w:rPr>
          <w:rFonts w:hint="eastAsia" w:ascii="宋体" w:hAnsi="宋体" w:cs="宋体"/>
          <w:color w:val="auto"/>
        </w:rPr>
        <w:br w:type="column"/>
      </w:r>
      <w:r>
        <w:rPr>
          <w:rFonts w:hint="eastAsia" w:ascii="宋体" w:hAnsi="宋体" w:cs="宋体"/>
          <w:color w:val="auto"/>
          <w:sz w:val="24"/>
          <w:szCs w:val="24"/>
        </w:rPr>
        <w:t>（四）法定代表人授权委托书（格式）</w:t>
      </w:r>
    </w:p>
    <w:p>
      <w:pPr>
        <w:tabs>
          <w:tab w:val="left" w:pos="6300"/>
        </w:tabs>
        <w:snapToGrid w:val="0"/>
        <w:spacing w:line="500" w:lineRule="exact"/>
        <w:rPr>
          <w:rFonts w:ascii="宋体" w:hAnsi="宋体" w:cs="宋体"/>
          <w:color w:val="auto"/>
          <w:sz w:val="24"/>
        </w:rPr>
      </w:pP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致：（采购人名称）：</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（供应商法定代表人名称）是（供应商名称）的法定代表人，特授权（被授权人姓名及身份证代码）代表我单位全权办理上述项目的磋商、签约等具体工作，并签署全部有关文件、协议及合同。</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我单位对被授权人的签字负全部责任。</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被授权人：                                 供应商法定代表人：</w:t>
      </w:r>
    </w:p>
    <w:p>
      <w:pPr>
        <w:tabs>
          <w:tab w:val="left" w:pos="6300"/>
        </w:tabs>
        <w:snapToGrid w:val="0"/>
        <w:spacing w:line="500" w:lineRule="exact"/>
        <w:ind w:firstLine="570"/>
        <w:rPr>
          <w:rFonts w:ascii="宋体" w:hAnsi="宋体" w:cs="宋体"/>
          <w:color w:val="auto"/>
          <w:sz w:val="24"/>
          <w:szCs w:val="28"/>
        </w:rPr>
      </w:pPr>
      <w:r>
        <w:rPr>
          <w:rFonts w:hint="eastAsia" w:ascii="宋体" w:hAnsi="宋体" w:cs="宋体"/>
          <w:color w:val="auto"/>
          <w:sz w:val="24"/>
          <w:szCs w:val="28"/>
        </w:rPr>
        <w:t>（签字或盖章）                                （签字或盖章）</w:t>
      </w:r>
    </w:p>
    <w:p>
      <w:pPr>
        <w:tabs>
          <w:tab w:val="left" w:pos="6300"/>
        </w:tabs>
        <w:snapToGrid w:val="0"/>
        <w:spacing w:line="500" w:lineRule="exact"/>
        <w:ind w:firstLine="570"/>
        <w:rPr>
          <w:rFonts w:ascii="宋体" w:hAnsi="宋体" w:cs="宋体"/>
          <w:color w:val="auto"/>
          <w:sz w:val="24"/>
          <w:szCs w:val="28"/>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r>
        <w:rPr>
          <w:rFonts w:hint="eastAsia" w:ascii="宋体" w:hAnsi="宋体" w:cs="宋体"/>
          <w:color w:val="auto"/>
          <w:sz w:val="24"/>
        </w:rPr>
        <w:t>（附：被授权人身份证正反面复印件）</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right="480" w:firstLine="570"/>
        <w:jc w:val="right"/>
        <w:rPr>
          <w:rFonts w:ascii="宋体" w:hAnsi="宋体" w:cs="宋体"/>
          <w:color w:val="auto"/>
          <w:sz w:val="24"/>
        </w:rPr>
      </w:pPr>
      <w:r>
        <w:rPr>
          <w:rFonts w:hint="eastAsia" w:ascii="宋体" w:hAnsi="宋体" w:cs="宋体"/>
          <w:color w:val="auto"/>
          <w:sz w:val="24"/>
        </w:rPr>
        <w:t>（供应商公章）</w:t>
      </w:r>
    </w:p>
    <w:p>
      <w:pPr>
        <w:tabs>
          <w:tab w:val="left" w:pos="6300"/>
        </w:tabs>
        <w:snapToGrid w:val="0"/>
        <w:spacing w:line="500" w:lineRule="exact"/>
        <w:ind w:right="480" w:firstLine="570"/>
        <w:jc w:val="right"/>
        <w:rPr>
          <w:rFonts w:ascii="宋体" w:hAnsi="宋体" w:cs="宋体"/>
          <w:color w:val="auto"/>
          <w:sz w:val="24"/>
        </w:rPr>
      </w:pPr>
      <w:r>
        <w:rPr>
          <w:rFonts w:hint="eastAsia" w:ascii="宋体" w:hAnsi="宋体" w:cs="宋体"/>
          <w:color w:val="auto"/>
          <w:sz w:val="24"/>
        </w:rPr>
        <w:t>年   月   日</w:t>
      </w:r>
    </w:p>
    <w:p>
      <w:pPr>
        <w:tabs>
          <w:tab w:val="left" w:pos="6300"/>
        </w:tabs>
        <w:snapToGrid w:val="0"/>
        <w:spacing w:line="500" w:lineRule="exact"/>
        <w:jc w:val="left"/>
        <w:rPr>
          <w:rFonts w:ascii="宋体" w:hAnsi="宋体" w:cs="宋体"/>
          <w:color w:val="auto"/>
          <w:sz w:val="24"/>
        </w:rPr>
      </w:pPr>
      <w:r>
        <w:rPr>
          <w:rFonts w:hint="eastAsia" w:ascii="宋体" w:hAnsi="宋体" w:cs="宋体"/>
          <w:color w:val="auto"/>
        </w:rPr>
        <w:br w:type="column"/>
      </w:r>
      <w:r>
        <w:rPr>
          <w:rFonts w:hint="eastAsia" w:ascii="宋体" w:hAnsi="宋体" w:cs="宋体"/>
          <w:color w:val="auto"/>
          <w:sz w:val="24"/>
          <w:szCs w:val="24"/>
        </w:rPr>
        <w:t>（六）书面声明</w:t>
      </w:r>
    </w:p>
    <w:p>
      <w:pPr>
        <w:tabs>
          <w:tab w:val="left" w:pos="6300"/>
        </w:tabs>
        <w:snapToGrid w:val="0"/>
        <w:spacing w:line="500" w:lineRule="exact"/>
        <w:rPr>
          <w:rFonts w:ascii="宋体" w:hAnsi="宋体" w:cs="宋体"/>
          <w:color w:val="auto"/>
          <w:sz w:val="24"/>
        </w:rPr>
      </w:pP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致：（采购人）：</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（供应商名称）郑重声明，我公司</w:t>
      </w:r>
      <w:r>
        <w:rPr>
          <w:rFonts w:hint="eastAsia" w:ascii="宋体" w:hAnsi="宋体" w:cs="宋体"/>
          <w:color w:val="auto"/>
          <w:sz w:val="24"/>
          <w:szCs w:val="22"/>
          <w:lang w:val="zh-CN"/>
        </w:rPr>
        <w:t>有依法缴纳税收和社会保障金的良好记录</w:t>
      </w:r>
      <w:r>
        <w:rPr>
          <w:rFonts w:hint="eastAsia" w:ascii="宋体" w:hAnsi="宋体" w:cs="宋体"/>
          <w:color w:val="auto"/>
          <w:sz w:val="24"/>
          <w:szCs w:val="22"/>
        </w:rPr>
        <w:t>，具有良好的商业信</w:t>
      </w:r>
      <w:r>
        <w:rPr>
          <w:rFonts w:hint="eastAsia" w:ascii="宋体" w:hAnsi="宋体" w:cs="宋体"/>
          <w:color w:val="auto"/>
          <w:sz w:val="24"/>
        </w:rPr>
        <w:t>誉，具有履行合同所必需的设备和专业技术能力，在合同签订前后随时愿意提供相关证明材料；我公司还同时声明参加本项目采购活动前三年内无重大违法活动记录，我公司还同时声明未列入在信用中国网站（www.creditchina.gov.cn）“失信被执行人”、“重大税收违法案件当事人名单”中，也未列入中国政府采购网（www.ccgp.gov.cn）“政府采购严重违法失信行为记录名单”中，并随时接受采购人的检查验证，我方对以上声明负全部法律责任。</w:t>
      </w:r>
    </w:p>
    <w:p>
      <w:pPr>
        <w:tabs>
          <w:tab w:val="left" w:pos="6300"/>
        </w:tabs>
        <w:snapToGrid w:val="0"/>
        <w:spacing w:line="500" w:lineRule="exact"/>
        <w:ind w:firstLine="480" w:firstLineChars="200"/>
        <w:rPr>
          <w:rFonts w:ascii="宋体" w:hAnsi="宋体" w:cs="宋体"/>
          <w:color w:val="auto"/>
          <w:sz w:val="24"/>
        </w:rPr>
      </w:pPr>
      <w:r>
        <w:rPr>
          <w:rFonts w:hint="eastAsia" w:ascii="宋体" w:hAnsi="宋体" w:cs="宋体"/>
          <w:color w:val="auto"/>
          <w:sz w:val="24"/>
        </w:rPr>
        <w:t>特此声明。</w:t>
      </w: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firstLine="570"/>
        <w:rPr>
          <w:rFonts w:ascii="宋体" w:hAnsi="宋体" w:cs="宋体"/>
          <w:color w:val="auto"/>
          <w:sz w:val="24"/>
        </w:rPr>
      </w:pPr>
    </w:p>
    <w:p>
      <w:pPr>
        <w:tabs>
          <w:tab w:val="left" w:pos="6300"/>
        </w:tabs>
        <w:snapToGrid w:val="0"/>
        <w:spacing w:line="500" w:lineRule="exact"/>
        <w:ind w:right="424" w:firstLine="570"/>
        <w:jc w:val="right"/>
        <w:rPr>
          <w:rFonts w:ascii="宋体" w:hAnsi="宋体" w:cs="宋体"/>
          <w:color w:val="auto"/>
          <w:sz w:val="24"/>
        </w:rPr>
      </w:pPr>
      <w:r>
        <w:rPr>
          <w:rFonts w:hint="eastAsia" w:ascii="宋体" w:hAnsi="宋体" w:cs="宋体"/>
          <w:color w:val="auto"/>
          <w:sz w:val="24"/>
        </w:rPr>
        <w:t>（供应商公章）</w:t>
      </w:r>
    </w:p>
    <w:p>
      <w:pPr>
        <w:tabs>
          <w:tab w:val="left" w:pos="6300"/>
        </w:tabs>
        <w:snapToGrid w:val="0"/>
        <w:spacing w:line="500" w:lineRule="exact"/>
        <w:ind w:right="480" w:firstLine="570"/>
        <w:jc w:val="right"/>
        <w:rPr>
          <w:rFonts w:ascii="宋体" w:hAnsi="宋体" w:cs="宋体"/>
          <w:color w:val="auto"/>
          <w:sz w:val="24"/>
        </w:rPr>
      </w:pPr>
      <w:r>
        <w:rPr>
          <w:rFonts w:hint="eastAsia" w:ascii="宋体" w:hAnsi="宋体" w:cs="宋体"/>
          <w:color w:val="auto"/>
          <w:sz w:val="24"/>
        </w:rPr>
        <w:t>年   月   日</w:t>
      </w:r>
    </w:p>
    <w:p>
      <w:pPr>
        <w:rPr>
          <w:color w:val="auto"/>
        </w:rPr>
      </w:pPr>
    </w:p>
    <w:sectPr>
      <w:headerReference r:id="rId16"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p>
  <w:p>
    <w:pPr>
      <w:pStyle w:val="11"/>
      <w:jc w:val="center"/>
      <w:rPr>
        <w:rFonts w:ascii="宋体" w:hAnsi="宋体"/>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34010" cy="172720"/>
              <wp:effectExtent l="0" t="0" r="0" b="0"/>
              <wp:wrapNone/>
              <wp:docPr id="5" name="文本框 2"/>
              <wp:cNvGraphicFramePr/>
              <a:graphic xmlns:a="http://schemas.openxmlformats.org/drawingml/2006/main">
                <a:graphicData uri="http://schemas.microsoft.com/office/word/2010/wordprocessingShape">
                  <wps:wsp>
                    <wps:cNvSpPr txBox="1"/>
                    <wps:spPr>
                      <a:xfrm>
                        <a:off x="0" y="0"/>
                        <a:ext cx="334010" cy="172720"/>
                      </a:xfrm>
                      <a:prstGeom prst="rect">
                        <a:avLst/>
                      </a:prstGeom>
                      <a:noFill/>
                      <a:ln w="6350">
                        <a:noFill/>
                      </a:ln>
                      <a:effectLst/>
                    </wps:spPr>
                    <wps:txbx>
                      <w:txbxContent>
                        <w:p>
                          <w:pPr>
                            <w:pStyle w:val="11"/>
                            <w:jc w:val="center"/>
                            <w:rPr>
                              <w:rStyle w:val="19"/>
                              <w:rFonts w:ascii="宋体"/>
                              <w:sz w:val="21"/>
                              <w:szCs w:val="21"/>
                            </w:rPr>
                          </w:pPr>
                          <w:r>
                            <w:rPr>
                              <w:rFonts w:ascii="宋体"/>
                              <w:sz w:val="21"/>
                              <w:szCs w:val="21"/>
                            </w:rPr>
                            <w:fldChar w:fldCharType="begin"/>
                          </w:r>
                          <w:r>
                            <w:rPr>
                              <w:rStyle w:val="19"/>
                              <w:rFonts w:ascii="宋体"/>
                              <w:sz w:val="21"/>
                              <w:szCs w:val="21"/>
                            </w:rPr>
                            <w:instrText xml:space="preserve">PAGE  </w:instrText>
                          </w:r>
                          <w:r>
                            <w:rPr>
                              <w:rFonts w:ascii="宋体"/>
                              <w:sz w:val="21"/>
                              <w:szCs w:val="21"/>
                            </w:rPr>
                            <w:fldChar w:fldCharType="separate"/>
                          </w:r>
                          <w:r>
                            <w:rPr>
                              <w:rStyle w:val="19"/>
                              <w:rFonts w:ascii="宋体"/>
                              <w:sz w:val="21"/>
                              <w:szCs w:val="21"/>
                            </w:rPr>
                            <w:t>- 3 -</w:t>
                          </w:r>
                          <w:r>
                            <w:rPr>
                              <w:rFonts w:ascii="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2" o:spid="_x0000_s1026" o:spt="202" type="#_x0000_t202" style="position:absolute;left:0pt;margin-top:0pt;height:13.6pt;width:26.3pt;mso-position-horizontal:center;mso-position-horizontal-relative:margin;mso-wrap-style:none;z-index:251659264;mso-width-relative:page;mso-height-relative:page;" filled="f" stroked="f" coordsize="21600,21600" o:gfxdata="UEsDBAoAAAAAAIdO4kAAAAAAAAAAAAAAAAAEAAAAZHJzL1BLAwQUAAAACACHTuJACcHQIdIAAAAD&#10;AQAADwAAAGRycy9kb3ducmV2LnhtbE2PwU7DMBBE70j8g7VI3KjTAKUKcSpREY5INBw4uvE2Cdjr&#10;yHbT8PcsXMplpdGMZt6Wm9lZMWGIgycFy0UGAqn1ZqBOwXtT36xBxKTJaOsJFXxjhE11eVHqwvgT&#10;veG0S53gEoqFVtCnNBZSxrZHp+PCj0jsHXxwOrEMnTRBn7jcWZln2Uo6PRAv9HrEbY/t1+7oFGzr&#10;pgkTxmA/8KW+/Xx9usPnWanrq2X2CCLhnM5h+MVndKiYae+PZKKwCviR9HfZu89XIPYK8occZFXK&#10;/+zVD1BLAwQUAAAACACHTuJAw3nirDYCAABhBAAADgAAAGRycy9lMm9Eb2MueG1srVTNjtMwEL4j&#10;8Q6W7zT9YXdR1XRVtipCqtiVCuLsOk4TyX+y3SblAeANOHHhznP1OfjsNF20cNgDF2fsGX8z3+eZ&#10;zG5bJclBOF8bndPRYEiJ0NwUtd7l9NPH1as3lPjAdMGk0SKnR+Hp7fzli1ljp2JsKiML4QhAtJ82&#10;NqdVCHaaZZ5XQjE/MFZoOEvjFAvYul1WONYAXclsPBxeZ41xhXWGC+9xuuyc9IzongNoyrLmYmn4&#10;XgkdOlQnJAug5KvaejpP1Zal4OG+LL0IROYUTENakQT2Nq7ZfMamO8dsVfNzCew5JTzhpFitkfQC&#10;tWSBkb2r/4JSNXfGmzIMuFFZRyQpAhaj4RNtNhWzInGB1N5eRPf/D5Z/ODw4Uhc5vaJEM4UHP33/&#10;dvrx6/TzKxlHeRrrp4jaWMSF9q1p0TT9ucdhZN2WTsUv+BD4Ie7xIq5oA+E4nExegyElHK7Rzfhm&#10;nMTPHi9b58M7YRSJRk4d3i5Jyg5rH1AIQvuQmEubVS1lej+pSZPT68nVMF24eHBD6hgrUiecYSKh&#10;rvBohXbbnlluTXEESWe6LvGWr2qUsmY+PDCHtkD1GJxwj6WUBinN2aKkMu7Lv85jPF4LXkoatFlO&#10;NaaKEvle4xUBGHrD9ca2N/Re3Rn07QgDaXkyccEF2ZulM+ozpmkRc8DFNEemnIbevAtdq2MauVgs&#10;UhD6zrKw1hvLI3SUx9vFPkDOpHIUpVMCkscNOi+Jf56S2Np/7lPU459h/h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JwdAh0gAAAAMBAAAPAAAAAAAAAAEAIAAAACIAAABkcnMvZG93bnJldi54bWxQ&#10;SwECFAAUAAAACACHTuJAw3nirDYCAABhBAAADgAAAAAAAAABACAAAAAhAQAAZHJzL2Uyb0RvYy54&#10;bWxQSwUGAAAAAAYABgBZAQAAyQUAAAAA&#10;">
              <v:fill on="f" focussize="0,0"/>
              <v:stroke on="f" weight="0.5pt"/>
              <v:imagedata o:title=""/>
              <o:lock v:ext="edit" aspectratio="f"/>
              <v:textbox inset="0mm,0mm,0mm,0mm" style="mso-fit-shape-to-text:t;">
                <w:txbxContent>
                  <w:p>
                    <w:pPr>
                      <w:pStyle w:val="11"/>
                      <w:jc w:val="center"/>
                      <w:rPr>
                        <w:rStyle w:val="19"/>
                        <w:rFonts w:ascii="宋体"/>
                        <w:sz w:val="21"/>
                        <w:szCs w:val="21"/>
                      </w:rPr>
                    </w:pPr>
                    <w:r>
                      <w:rPr>
                        <w:rFonts w:ascii="宋体"/>
                        <w:sz w:val="21"/>
                        <w:szCs w:val="21"/>
                      </w:rPr>
                      <w:fldChar w:fldCharType="begin"/>
                    </w:r>
                    <w:r>
                      <w:rPr>
                        <w:rStyle w:val="19"/>
                        <w:rFonts w:ascii="宋体"/>
                        <w:sz w:val="21"/>
                        <w:szCs w:val="21"/>
                      </w:rPr>
                      <w:instrText xml:space="preserve">PAGE  </w:instrText>
                    </w:r>
                    <w:r>
                      <w:rPr>
                        <w:rFonts w:ascii="宋体"/>
                        <w:sz w:val="21"/>
                        <w:szCs w:val="21"/>
                      </w:rPr>
                      <w:fldChar w:fldCharType="separate"/>
                    </w:r>
                    <w:r>
                      <w:rPr>
                        <w:rStyle w:val="19"/>
                        <w:rFonts w:ascii="宋体"/>
                        <w:sz w:val="21"/>
                        <w:szCs w:val="21"/>
                      </w:rPr>
                      <w:t>- 3 -</w:t>
                    </w:r>
                    <w:r>
                      <w:rPr>
                        <w:rFonts w:ascii="宋体"/>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sz w:val="21"/>
        <w:szCs w:val="21"/>
      </w:rPr>
    </w:pPr>
    <w:r>
      <w:rPr>
        <w:sz w:val="2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334010" cy="172720"/>
              <wp:effectExtent l="0" t="0" r="0" b="0"/>
              <wp:wrapNone/>
              <wp:docPr id="3" name="文本框 3"/>
              <wp:cNvGraphicFramePr/>
              <a:graphic xmlns:a="http://schemas.openxmlformats.org/drawingml/2006/main">
                <a:graphicData uri="http://schemas.microsoft.com/office/word/2010/wordprocessingShape">
                  <wps:wsp>
                    <wps:cNvSpPr txBox="1"/>
                    <wps:spPr>
                      <a:xfrm>
                        <a:off x="0" y="0"/>
                        <a:ext cx="334010" cy="172720"/>
                      </a:xfrm>
                      <a:prstGeom prst="rect">
                        <a:avLst/>
                      </a:prstGeom>
                      <a:noFill/>
                      <a:ln w="6350">
                        <a:noFill/>
                      </a:ln>
                      <a:effectLst/>
                    </wps:spPr>
                    <wps:txbx>
                      <w:txbxContent>
                        <w:p>
                          <w:pPr>
                            <w:pStyle w:val="11"/>
                            <w:jc w:val="center"/>
                          </w:pPr>
                          <w:r>
                            <w:rPr>
                              <w:rFonts w:ascii="宋体" w:hAnsi="宋体"/>
                              <w:sz w:val="21"/>
                              <w:szCs w:val="21"/>
                            </w:rPr>
                            <w:fldChar w:fldCharType="begin"/>
                          </w:r>
                          <w:r>
                            <w:rPr>
                              <w:rStyle w:val="19"/>
                              <w:rFonts w:ascii="宋体" w:hAnsi="宋体"/>
                              <w:sz w:val="21"/>
                              <w:szCs w:val="21"/>
                            </w:rPr>
                            <w:instrText xml:space="preserve"> PAGE </w:instrText>
                          </w:r>
                          <w:r>
                            <w:rPr>
                              <w:rFonts w:ascii="宋体" w:hAnsi="宋体"/>
                              <w:sz w:val="21"/>
                              <w:szCs w:val="21"/>
                            </w:rPr>
                            <w:fldChar w:fldCharType="separate"/>
                          </w:r>
                          <w:r>
                            <w:rPr>
                              <w:rStyle w:val="19"/>
                              <w:rFonts w:ascii="宋体" w:hAnsi="宋体"/>
                              <w:sz w:val="21"/>
                              <w:szCs w:val="21"/>
                            </w:rPr>
                            <w:t>- 10 -</w:t>
                          </w:r>
                          <w:r>
                            <w:rPr>
                              <w:rFonts w:ascii="宋体" w:hAnsi="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3.6pt;width:26.3pt;mso-position-horizontal:center;mso-position-horizontal-relative:margin;mso-wrap-style:none;z-index:251661312;mso-width-relative:page;mso-height-relative:page;" filled="f" stroked="f" coordsize="21600,21600" o:gfxdata="UEsDBAoAAAAAAIdO4kAAAAAAAAAAAAAAAAAEAAAAZHJzL1BLAwQUAAAACACHTuJACcHQIdIAAAAD&#10;AQAADwAAAGRycy9kb3ducmV2LnhtbE2PwU7DMBBE70j8g7VI3KjTAKUKcSpREY5INBw4uvE2Cdjr&#10;yHbT8PcsXMplpdGMZt6Wm9lZMWGIgycFy0UGAqn1ZqBOwXtT36xBxKTJaOsJFXxjhE11eVHqwvgT&#10;veG0S53gEoqFVtCnNBZSxrZHp+PCj0jsHXxwOrEMnTRBn7jcWZln2Uo6PRAv9HrEbY/t1+7oFGzr&#10;pgkTxmA/8KW+/Xx9usPnWanrq2X2CCLhnM5h+MVndKiYae+PZKKwCviR9HfZu89XIPYK8occZFXK&#10;/+zVD1BLAwQUAAAACACHTuJAHdpAWjYCAABhBAAADgAAAGRycy9lMm9Eb2MueG1srVTNjtMwEL4j&#10;8Q6W7zT9gV1UNV2VrYqQKnalgji7jtNE8p9st0l5AHgDTlz2znP1OfjsNF20cNgDF2fsGX8z3+eZ&#10;zG5aJclBOF8bndPRYEiJ0NwUtd7l9POn1au3lPjAdMGk0SKnR+Hpzfzli1ljp2JsKiML4QhAtJ82&#10;NqdVCHaaZZ5XQjE/MFZoOEvjFAvYul1WONYAXclsPBxeZY1xhXWGC+9xuuyc9IzongNoyrLmYmn4&#10;XgkdOlQnJAug5KvaejpP1Zal4OGuLL0IROYUTENakQT2Nq7ZfMamO8dsVfNzCew5JTzhpFitkfQC&#10;tWSBkb2r/4JSNXfGmzIMuFFZRyQpAhaj4RNtNhWzInGB1N5eRPf/D5Z/PNw7Uhc5nVCimcKDn358&#10;P/38dXr4RiZRnsb6KaI2FnGhfWdaNE1/7nEYWbelU/ELPgR+iHu8iCvaQDgOJ5PXYEgJh2t0Pb4e&#10;J/Gzx8vW+fBeGEWikVOHt0uSssPaBxSC0D4k5tJmVUuZ3k9q0uT0avJmmC5cPLghdYwVqRPOMJFQ&#10;V3i0Qrttzyy3pjiCpDNdl3jLVzVKWTMf7plDW6B6DE64w1JKg5TmbFFSGff1X+cxHq8FLyUN2iyn&#10;GlNFifyg8YoADL3hemPbG3qvbg36doSBtDyZuOCC7M3SGfUF07SIOeBimiNTTkNv3oau1TGNXCwW&#10;KQh9Z1lY643lETrK4+1iHyBnUjmK0ikByeMGnZfEP09JbO0/9ynq8c8w/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JwdAh0gAAAAMBAAAPAAAAAAAAAAEAIAAAACIAAABkcnMvZG93bnJldi54bWxQ&#10;SwECFAAUAAAACACHTuJAHdpAWjYCAABhBAAADgAAAAAAAAABACAAAAAhAQAAZHJzL2Uyb0RvYy54&#10;bWxQSwUGAAAAAAYABgBZAQAAyQUAAAAA&#10;">
              <v:fill on="f" focussize="0,0"/>
              <v:stroke on="f" weight="0.5pt"/>
              <v:imagedata o:title=""/>
              <o:lock v:ext="edit" aspectratio="f"/>
              <v:textbox inset="0mm,0mm,0mm,0mm" style="mso-fit-shape-to-text:t;">
                <w:txbxContent>
                  <w:p>
                    <w:pPr>
                      <w:pStyle w:val="11"/>
                      <w:jc w:val="center"/>
                    </w:pPr>
                    <w:r>
                      <w:rPr>
                        <w:rFonts w:ascii="宋体" w:hAnsi="宋体"/>
                        <w:sz w:val="21"/>
                        <w:szCs w:val="21"/>
                      </w:rPr>
                      <w:fldChar w:fldCharType="begin"/>
                    </w:r>
                    <w:r>
                      <w:rPr>
                        <w:rStyle w:val="19"/>
                        <w:rFonts w:ascii="宋体" w:hAnsi="宋体"/>
                        <w:sz w:val="21"/>
                        <w:szCs w:val="21"/>
                      </w:rPr>
                      <w:instrText xml:space="preserve"> PAGE </w:instrText>
                    </w:r>
                    <w:r>
                      <w:rPr>
                        <w:rFonts w:ascii="宋体" w:hAnsi="宋体"/>
                        <w:sz w:val="21"/>
                        <w:szCs w:val="21"/>
                      </w:rPr>
                      <w:fldChar w:fldCharType="separate"/>
                    </w:r>
                    <w:r>
                      <w:rPr>
                        <w:rStyle w:val="19"/>
                        <w:rFonts w:ascii="宋体" w:hAnsi="宋体"/>
                        <w:sz w:val="21"/>
                        <w:szCs w:val="21"/>
                      </w:rPr>
                      <w:t>- 10 -</w:t>
                    </w:r>
                    <w:r>
                      <w:rPr>
                        <w:rFonts w:ascii="宋体" w:hAnsi="宋体"/>
                        <w:sz w:val="21"/>
                        <w:szCs w:val="21"/>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sz w:val="21"/>
        <w:szCs w:val="21"/>
      </w:rPr>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400685" cy="172720"/>
              <wp:effectExtent l="0" t="0" r="0" b="0"/>
              <wp:wrapNone/>
              <wp:docPr id="4" name="文本框 4"/>
              <wp:cNvGraphicFramePr/>
              <a:graphic xmlns:a="http://schemas.openxmlformats.org/drawingml/2006/main">
                <a:graphicData uri="http://schemas.microsoft.com/office/word/2010/wordprocessingShape">
                  <wps:wsp>
                    <wps:cNvSpPr txBox="1"/>
                    <wps:spPr>
                      <a:xfrm>
                        <a:off x="0" y="0"/>
                        <a:ext cx="400685" cy="172720"/>
                      </a:xfrm>
                      <a:prstGeom prst="rect">
                        <a:avLst/>
                      </a:prstGeom>
                      <a:noFill/>
                      <a:ln w="6350">
                        <a:noFill/>
                      </a:ln>
                      <a:effectLst/>
                    </wps:spPr>
                    <wps:txbx>
                      <w:txbxContent>
                        <w:p>
                          <w:pPr>
                            <w:pStyle w:val="11"/>
                            <w:jc w:val="center"/>
                          </w:pPr>
                          <w:r>
                            <w:rPr>
                              <w:rFonts w:ascii="宋体" w:hAnsi="宋体"/>
                              <w:sz w:val="21"/>
                              <w:szCs w:val="21"/>
                            </w:rPr>
                            <w:fldChar w:fldCharType="begin"/>
                          </w:r>
                          <w:r>
                            <w:rPr>
                              <w:rStyle w:val="19"/>
                              <w:rFonts w:ascii="宋体" w:hAnsi="宋体"/>
                              <w:sz w:val="21"/>
                              <w:szCs w:val="21"/>
                            </w:rPr>
                            <w:instrText xml:space="preserve"> PAGE </w:instrText>
                          </w:r>
                          <w:r>
                            <w:rPr>
                              <w:rFonts w:ascii="宋体" w:hAnsi="宋体"/>
                              <w:sz w:val="21"/>
                              <w:szCs w:val="21"/>
                            </w:rPr>
                            <w:fldChar w:fldCharType="separate"/>
                          </w:r>
                          <w:r>
                            <w:rPr>
                              <w:rStyle w:val="19"/>
                              <w:rFonts w:ascii="宋体" w:hAnsi="宋体"/>
                              <w:sz w:val="21"/>
                              <w:szCs w:val="21"/>
                            </w:rPr>
                            <w:t>- 29 -</w:t>
                          </w:r>
                          <w:r>
                            <w:rPr>
                              <w:rFonts w:ascii="宋体" w:hAnsi="宋体"/>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3.6pt;width:31.55pt;mso-position-horizontal:center;mso-position-horizontal-relative:margin;mso-wrap-style:none;z-index:251663360;mso-width-relative:page;mso-height-relative:page;" filled="f" stroked="f" coordsize="21600,21600" o:gfxdata="UEsDBAoAAAAAAIdO4kAAAAAAAAAAAAAAAAAEAAAAZHJzL1BLAwQUAAAACACHTuJA/hG4V9IAAAAD&#10;AQAADwAAAGRycy9kb3ducmV2LnhtbE2PwU7DMBBE70j8g7VI3KiTFBUUsqlERTgi0XDg6MZLErDX&#10;ke2m4e8xXOhlpdGMZt5W28UaMZMPo2OEfJWBIO6cHrlHeGubm3sQISrWyjgmhG8KsK0vLypVanfi&#10;V5r3sRephEOpEIYYp1LK0A1kVVi5iTh5H85bFZP0vdRenVK5NbLIso20auS0MKiJdgN1X/ujRdg1&#10;betnCt6803Oz/nx5vKWnBfH6Ks8eQERa4n8YfvETOtSJ6eCOrIMwCOmR+HeTt1nnIA4IxV0Bsq7k&#10;OXv9A1BLAwQUAAAACACHTuJAUR5jyjcCAABhBAAADgAAAGRycy9lMm9Eb2MueG1srVRLjhMxEN0j&#10;cQfLe9JJyHwUpTMKEwUhjZiRAmLtuN3plvyT7aQ7HABuwIrN7DlXzsGzO51BA4tZsOmUXeWqeq9e&#10;ZXbTKkn2wvna6JyOBkNKhOamqPU2p58/rd5cU+ID0wWTRoucHoSnN/PXr2aNnYqxqYwshCNIov20&#10;sTmtQrDTLPO8Eor5gbFCw1kap1jA0W2zwrEG2ZXMxsPhZdYYV1hnuPAet8vOSU8Z3UsSmrKsuVga&#10;vlNChy6rE5IFQPJVbT2dp27LUvBwX5ZeBCJzCqQhfVEE9iZ+s/mMTbeO2armpxbYS1p4hkmxWqPo&#10;OdWSBUZ2rv4rlaq5M96UYcCNyjogiRGgGA2fcbOumBUJC6j29ky6/39p+cf9gyN1kdMJJZopDPz4&#10;4/vx56/j4zcyifQ01k8RtbaIC+0700I0/b3HZUTdlk7FX+Ah8IPcw5lc0QbCcTnB7K8vKOFwja7G&#10;V+NEfvb02Dof3gujSDRy6jC7RCnb3/mARhDah8Ra2qxqKdP8pCZNTi/fXgzTg7MHL6SOsSIp4ZQm&#10;Auoaj1ZoN+0J5cYUB4B0plOJt3xVo5U75sMDc5AFcGFxwj0+pTQoaU4WJZVxX/91H+MxLXgpaSCz&#10;nGpsFSXyg8YUoyJ7w/XGpjf0Tt0a6HaEhbQ8mXjgguzN0hn1Bdu0iDXgYpqjUk5Db96GTurYRi4W&#10;ixQE3VkW7vTa8pg60uPtYhdAZ2I5ktIxAcrjAcpL5J+2JEr7z3OKevpnmP8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hG4V9IAAAADAQAADwAAAAAAAAABACAAAAAiAAAAZHJzL2Rvd25yZXYueG1s&#10;UEsBAhQAFAAAAAgAh07iQFEeY8o3AgAAYQQAAA4AAAAAAAAAAQAgAAAAIQEAAGRycy9lMm9Eb2Mu&#10;eG1sUEsFBgAAAAAGAAYAWQEAAMoFAAAAAA==&#10;">
              <v:fill on="f" focussize="0,0"/>
              <v:stroke on="f" weight="0.5pt"/>
              <v:imagedata o:title=""/>
              <o:lock v:ext="edit" aspectratio="f"/>
              <v:textbox inset="0mm,0mm,0mm,0mm" style="mso-fit-shape-to-text:t;">
                <w:txbxContent>
                  <w:p>
                    <w:pPr>
                      <w:pStyle w:val="11"/>
                      <w:jc w:val="center"/>
                    </w:pPr>
                    <w:r>
                      <w:rPr>
                        <w:rFonts w:ascii="宋体" w:hAnsi="宋体"/>
                        <w:sz w:val="21"/>
                        <w:szCs w:val="21"/>
                      </w:rPr>
                      <w:fldChar w:fldCharType="begin"/>
                    </w:r>
                    <w:r>
                      <w:rPr>
                        <w:rStyle w:val="19"/>
                        <w:rFonts w:ascii="宋体" w:hAnsi="宋体"/>
                        <w:sz w:val="21"/>
                        <w:szCs w:val="21"/>
                      </w:rPr>
                      <w:instrText xml:space="preserve"> PAGE </w:instrText>
                    </w:r>
                    <w:r>
                      <w:rPr>
                        <w:rFonts w:ascii="宋体" w:hAnsi="宋体"/>
                        <w:sz w:val="21"/>
                        <w:szCs w:val="21"/>
                      </w:rPr>
                      <w:fldChar w:fldCharType="separate"/>
                    </w:r>
                    <w:r>
                      <w:rPr>
                        <w:rStyle w:val="19"/>
                        <w:rFonts w:ascii="宋体" w:hAnsi="宋体"/>
                        <w:sz w:val="21"/>
                        <w:szCs w:val="21"/>
                      </w:rPr>
                      <w:t>- 29 -</w:t>
                    </w:r>
                    <w:r>
                      <w:rPr>
                        <w:rFonts w:ascii="宋体" w:hAnsi="宋体"/>
                        <w:sz w:val="21"/>
                        <w:szCs w:val="21"/>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end"/>
    </w:r>
  </w:p>
  <w:p>
    <w:pPr>
      <w:pStyle w:val="1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7608570" cy="814705"/>
              <wp:effectExtent l="0" t="0" r="0" b="0"/>
              <wp:wrapNone/>
              <wp:docPr id="2" name="WordArt 1031"/>
              <wp:cNvGraphicFramePr/>
              <a:graphic xmlns:a="http://schemas.openxmlformats.org/drawingml/2006/main">
                <a:graphicData uri="http://schemas.microsoft.com/office/word/2010/wordprocessingShape">
                  <wps:wsp>
                    <wps:cNvSpPr txBox="1">
                      <a:spLocks noChangeArrowheads="1" noChangeShapeType="1"/>
                    </wps:cNvSpPr>
                    <wps:spPr bwMode="auto">
                      <a:xfrm rot="18900000">
                        <a:off x="0" y="0"/>
                        <a:ext cx="7608570" cy="814705"/>
                      </a:xfrm>
                      <a:prstGeom prst="rect">
                        <a:avLst/>
                      </a:prstGeom>
                    </wps:spPr>
                    <wps:txbx>
                      <w:txbxContent>
                        <w:p>
                          <w:pPr>
                            <w:pStyle w:val="15"/>
                            <w:spacing w:before="0" w:beforeAutospacing="0" w:after="0" w:afterAutospacing="0"/>
                            <w:jc w:val="center"/>
                            <w:rPr>
                              <w:szCs w:val="24"/>
                            </w:rPr>
                          </w:pPr>
                          <w:r>
                            <w:rPr>
                              <w:rFonts w:hint="eastAsia" w:ascii="华文仿宋" w:hAnsi="华文仿宋" w:eastAsia="华文仿宋"/>
                              <w:color w:val="C0C0C0"/>
                              <w:sz w:val="16"/>
                              <w:szCs w:val="16"/>
                              <w14:textFill>
                                <w14:solidFill>
                                  <w14:srgbClr w14:val="C0C0C0">
                                    <w14:alpha w14:val="50000"/>
                                  </w14:srgbClr>
                                </w14:solidFill>
                              </w14:textFill>
                            </w:rPr>
                            <w:t>重庆市南岸区公共资源交易中心</w:t>
                          </w:r>
                        </w:p>
                      </w:txbxContent>
                    </wps:txbx>
                    <wps:bodyPr wrap="square" numCol="1" fromWordArt="1">
                      <a:prstTxWarp prst="textPlain">
                        <a:avLst>
                          <a:gd name="adj" fmla="val 50000"/>
                        </a:avLst>
                      </a:prstTxWarp>
                      <a:spAutoFit/>
                    </wps:bodyPr>
                  </wps:wsp>
                </a:graphicData>
              </a:graphic>
            </wp:anchor>
          </w:drawing>
        </mc:Choice>
        <mc:Fallback>
          <w:pict>
            <v:shape id="WordArt 1031" o:spid="_x0000_s1026" o:spt="202" type="#_x0000_t202" style="position:absolute;left:0pt;height:64.15pt;width:599.1pt;mso-position-horizontal:center;mso-position-horizontal-relative:margin;mso-position-vertical:center;mso-position-vertical-relative:margin;rotation:-2949120f;z-index:-251654144;mso-width-relative:page;mso-height-relative:page;" filled="f" stroked="f" coordsize="21600,21600" o:allowincell="f" o:gfxdata="UEsDBAoAAAAAAIdO4kAAAAAAAAAAAAAAAAAEAAAAZHJzL1BLAwQUAAAACACHTuJAp6XbjtQAAAAG&#10;AQAADwAAAGRycy9kb3ducmV2LnhtbE2PwWrDMBBE74X+g9hCb41sBYrrWg4kkPScxAR6U6yNbSqt&#10;jCU7zt9X6aW5LLPMMvO2WM3WsAkH3zmSkC4SYEi10x01Eqrj9i0D5oMirYwjlHBDD6vy+alQuXZX&#10;2uN0CA2LIeRzJaENoc8593WLVvmF65Gid3GDVSGuQ8P1oK4x3BoukuSdW9VRbGhVj5sW65/DaCWs&#10;b/My/dpV4jR+V7Ox034nLmspX1/S5BNYwDn8H8MdP6JDGZnObiTtmZEQHwl/8+6lH5kAdo5KZEvg&#10;ZcEf8ctfUEsDBBQAAAAIAIdO4kANKQ7/FQIAACoEAAAOAAAAZHJzL2Uyb0RvYy54bWytk0Fz2jAQ&#10;he+d6X/Q6F5s0xKoB5OhYdJL2mQmdHJeZBk7tbSqJLD5913JhmbSSw7h4LGk9af33i7L61617Cit&#10;a1AXPJuknEktsGz0vuC/trefFpw5D7qEFrUs+Ek6fr36+GHZmVxOsca2lJYRRLu8MwWvvTd5kjhR&#10;SwVugkZqOqzQKvC0tPuktNARXbXJNE2vkg5taSwK6RztboZDPhLtW4BYVY2QGxQHJbUfqFa24MmS&#10;qxvj+CqqrSop/H1VOelZW3By6uOTLqH3XXgmqyXkewumbsQoAd4i4ZUnBY2mSy+oDXhgB9v8h1KN&#10;sOiw8hOBKhmMxETIRZa+yuaxBiOjF4ramUvo7v2w4ufxwbKmLPiUMw2KGv5E/Vlbz7L0cxby6YzL&#10;qezRUKHvv2FPUxO9OnOH4rdjGm9q0Hu5tha7WkJJ+jKijdvRxfZkCB15yQvgQHcBvet+YEk1cPAY&#10;8X1lFbNILcsWX9Pwi9uUGSMJ1MDTpYGy90zQ5vwqXczmdCTobJF9maez4CCBPMBCf4x1/rtExcJL&#10;wS0NSKTC8c75ofRcQt8FpUHcINP3u37MY4fliTR3NDgFd38OYCUZPqgbpDkj75VFNeYY1uebt/0T&#10;WDPe7Un1Q3senCggTlA59gHKZwKplubxCC2bxQQGiWMx+QpiB2r41pk1pXfbRCdB/KBzdEIjFLMY&#10;xz3M6Mt1rPr3F1/9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Kel247UAAAABgEAAA8AAAAAAAAA&#10;AQAgAAAAIgAAAGRycy9kb3ducmV2LnhtbFBLAQIUABQAAAAIAIdO4kANKQ7/FQIAACoEAAAOAAAA&#10;AAAAAAEAIAAAACMBAABkcnMvZTJvRG9jLnhtbFBLBQYAAAAABgAGAFkBAACqBQAAAAA=&#10;" adj="10800">
              <v:fill on="f" focussize="0,0"/>
              <v:stroke on="f"/>
              <v:imagedata o:title=""/>
              <o:lock v:ext="edit" aspectratio="f"/>
              <v:textbox style="mso-fit-shape-to-text:t;">
                <w:txbxContent>
                  <w:p>
                    <w:pPr>
                      <w:pStyle w:val="15"/>
                      <w:spacing w:before="0" w:beforeAutospacing="0" w:after="0" w:afterAutospacing="0"/>
                      <w:jc w:val="center"/>
                      <w:rPr>
                        <w:szCs w:val="24"/>
                      </w:rPr>
                    </w:pPr>
                    <w:r>
                      <w:rPr>
                        <w:rFonts w:hint="eastAsia" w:ascii="华文仿宋" w:hAnsi="华文仿宋" w:eastAsia="华文仿宋"/>
                        <w:color w:val="C0C0C0"/>
                        <w:sz w:val="16"/>
                        <w:szCs w:val="16"/>
                        <w14:textFill>
                          <w14:solidFill>
                            <w14:srgbClr w14:val="C0C0C0">
                              <w14:alpha w14:val="50000"/>
                            </w14:srgbClr>
                          </w14:solidFill>
                        </w14:textFill>
                      </w:rPr>
                      <w:t>重庆市南岸区公共资源交易中心</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608570" cy="814705"/>
              <wp:effectExtent l="0" t="0" r="0" b="0"/>
              <wp:wrapNone/>
              <wp:docPr id="1" name="WordArt 1030"/>
              <wp:cNvGraphicFramePr/>
              <a:graphic xmlns:a="http://schemas.openxmlformats.org/drawingml/2006/main">
                <a:graphicData uri="http://schemas.microsoft.com/office/word/2010/wordprocessingShape">
                  <wps:wsp>
                    <wps:cNvSpPr txBox="1">
                      <a:spLocks noChangeArrowheads="1" noChangeShapeType="1"/>
                    </wps:cNvSpPr>
                    <wps:spPr bwMode="auto">
                      <a:xfrm rot="18900000">
                        <a:off x="0" y="0"/>
                        <a:ext cx="7608570" cy="814705"/>
                      </a:xfrm>
                      <a:prstGeom prst="rect">
                        <a:avLst/>
                      </a:prstGeom>
                    </wps:spPr>
                    <wps:txbx>
                      <w:txbxContent>
                        <w:p>
                          <w:pPr>
                            <w:pStyle w:val="15"/>
                            <w:spacing w:before="0" w:beforeAutospacing="0" w:after="0" w:afterAutospacing="0"/>
                            <w:jc w:val="center"/>
                            <w:rPr>
                              <w:szCs w:val="24"/>
                            </w:rPr>
                          </w:pPr>
                          <w:r>
                            <w:rPr>
                              <w:rFonts w:hint="eastAsia" w:ascii="华文仿宋" w:hAnsi="华文仿宋" w:eastAsia="华文仿宋"/>
                              <w:color w:val="C0C0C0"/>
                              <w:sz w:val="16"/>
                              <w:szCs w:val="16"/>
                              <w14:textFill>
                                <w14:solidFill>
                                  <w14:srgbClr w14:val="C0C0C0">
                                    <w14:alpha w14:val="50000"/>
                                  </w14:srgbClr>
                                </w14:solidFill>
                              </w14:textFill>
                            </w:rPr>
                            <w:t>重庆市南岸区公共资源交易中心</w:t>
                          </w:r>
                        </w:p>
                      </w:txbxContent>
                    </wps:txbx>
                    <wps:bodyPr wrap="square" numCol="1" fromWordArt="1">
                      <a:prstTxWarp prst="textPlain">
                        <a:avLst>
                          <a:gd name="adj" fmla="val 50000"/>
                        </a:avLst>
                      </a:prstTxWarp>
                      <a:spAutoFit/>
                    </wps:bodyPr>
                  </wps:wsp>
                </a:graphicData>
              </a:graphic>
            </wp:anchor>
          </w:drawing>
        </mc:Choice>
        <mc:Fallback>
          <w:pict>
            <v:shape id="WordArt 1030" o:spid="_x0000_s1026" o:spt="202" type="#_x0000_t202" style="position:absolute;left:0pt;height:64.15pt;width:599.1pt;mso-position-horizontal:center;mso-position-horizontal-relative:margin;mso-position-vertical:center;mso-position-vertical-relative:margin;rotation:-2949120f;z-index:-251656192;mso-width-relative:page;mso-height-relative:page;" filled="f" stroked="f" coordsize="21600,21600" o:allowincell="f" o:gfxdata="UEsDBAoAAAAAAIdO4kAAAAAAAAAAAAAAAAAEAAAAZHJzL1BLAwQUAAAACACHTuJAp6XbjtQAAAAG&#10;AQAADwAAAGRycy9kb3ducmV2LnhtbE2PwWrDMBBE74X+g9hCb41sBYrrWg4kkPScxAR6U6yNbSqt&#10;jCU7zt9X6aW5LLPMMvO2WM3WsAkH3zmSkC4SYEi10x01Eqrj9i0D5oMirYwjlHBDD6vy+alQuXZX&#10;2uN0CA2LIeRzJaENoc8593WLVvmF65Gid3GDVSGuQ8P1oK4x3BoukuSdW9VRbGhVj5sW65/DaCWs&#10;b/My/dpV4jR+V7Ox034nLmspX1/S5BNYwDn8H8MdP6JDGZnObiTtmZEQHwl/8+6lH5kAdo5KZEvg&#10;ZcEf8ctfUEsDBBQAAAAIAIdO4kBeXIXWDwIAACoEAAAOAAAAZHJzL2Uyb0RvYy54bWytU8tu2zAQ&#10;vBfoPxC815LSOnYFy4EbI72kbYC4yHlNUZZakcuSlCX/fZeUYgfpJYfqQPCxmJ2ZHa1uBtWyo7Su&#10;QV3wbJZyJrXAstGHgv/c3X1YcuY86BJa1LLgJ+n4zfr9u1VvcnmFNbaltIxAtMt7U/Dae5MniRO1&#10;VOBmaKSmxwqtAk9He0hKCz2hqza5StPrpEdbGotCOke32/GRT4j2LYBYVY2QWxSdktqPqFa24EmS&#10;qxvj+DqyrSop/I+qctKztuCk1MeVmtB+H9ZkvYL8YMHUjZgowFsovNKkoNHU9Ay1BQ+ss80/UKoR&#10;Fh1WfiZQJaOQ6AipyNJX3jzWYGTUQlY7czbd/T9Y8f34YFlTUhI406Bo4E80n431LEs/Rn9643Iq&#10;ezRU6IcvOITaoNWZexS/HdN4W4M+yI212NcSSuIX0KbrqGJ3MgSdBb+TF4BhTo6ACHrff8OSaqDz&#10;GOGHyipmkUaWLT+n4YvX5BkjCjTA03mAcvBM0OXiOl3OF/Qk6G2ZfVqk89gR8gAWOBvr/FeJioVN&#10;wS0FJKLC8d75QO5SMjEN5EaaftgPVBIY77E8EeeeglNw96cDK0lwp26RckbaK4tq8jGcnzvvhiew&#10;ZurtifVD+xycSCAmqJzmAOUvAlIt5fEILZtHB0aKU/FEdkQdJ7Ih9+6aqOTCc1JCEYoCp7iHjL48&#10;x6rLL77+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el247UAAAABgEAAA8AAAAAAAAAAQAgAAAA&#10;IgAAAGRycy9kb3ducmV2LnhtbFBLAQIUABQAAAAIAIdO4kBeXIXWDwIAACoEAAAOAAAAAAAAAAEA&#10;IAAAACMBAABkcnMvZTJvRG9jLnhtbFBLBQYAAAAABgAGAFkBAACkBQAAAAA=&#10;" adj="10800">
              <v:fill on="f" focussize="0,0"/>
              <v:stroke on="f"/>
              <v:imagedata o:title=""/>
              <o:lock v:ext="edit" aspectratio="f"/>
              <v:textbox style="mso-fit-shape-to-text:t;">
                <w:txbxContent>
                  <w:p>
                    <w:pPr>
                      <w:pStyle w:val="15"/>
                      <w:spacing w:before="0" w:beforeAutospacing="0" w:after="0" w:afterAutospacing="0"/>
                      <w:jc w:val="center"/>
                      <w:rPr>
                        <w:szCs w:val="24"/>
                      </w:rPr>
                    </w:pPr>
                    <w:r>
                      <w:rPr>
                        <w:rFonts w:hint="eastAsia" w:ascii="华文仿宋" w:hAnsi="华文仿宋" w:eastAsia="华文仿宋"/>
                        <w:color w:val="C0C0C0"/>
                        <w:sz w:val="16"/>
                        <w:szCs w:val="16"/>
                        <w14:textFill>
                          <w14:solidFill>
                            <w14:srgbClr w14:val="C0C0C0">
                              <w14:alpha w14:val="50000"/>
                            </w14:srgbClr>
                          </w14:solidFill>
                        </w14:textFill>
                      </w:rPr>
                      <w:t>重庆市南岸区公共资源交易中心</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PowerPlusWaterMarkObject5496356" o:spid="_x0000_s4098" o:spt="136" type="#_x0000_t136" style="position:absolute;left:0pt;height:64.15pt;width:599.1pt;mso-position-horizontal:center;mso-position-horizontal-relative:margin;mso-position-vertical:center;mso-position-vertical-relative:margin;rotation:20643840f;z-index:-251651072;mso-width-relative:page;mso-height-relative:page;" fillcolor="#C0C0C0" filled="t" stroked="f" coordsize="21600,21600" o:allowincell="f">
          <v:path/>
          <v:fill on="t" opacity="32768f" focussize="0,0"/>
          <v:stroke on="f"/>
          <v:imagedata o:title=""/>
          <o:lock v:ext="edit" text="f"/>
          <v:textpath on="t" fitshape="t" fitpath="t" trim="t" xscale="f" string="重庆市南岸区公共资源交易中心" style="font-family:华文仿宋;font-size:8pt;v-text-align:center;"/>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pict>
        <v:shape id="PowerPlusWaterMarkObject5496355" o:spid="_x0000_s4097" o:spt="136" type="#_x0000_t136" style="position:absolute;left:0pt;height:64.15pt;width:599.1pt;mso-position-horizontal:center;mso-position-horizontal-relative:margin;mso-position-vertical:center;mso-position-vertical-relative:margin;rotation:20643840f;z-index:-251652096;mso-width-relative:page;mso-height-relative:page;" fillcolor="#C0C0C0" filled="t" stroked="f" coordsize="21600,21600" o:allowincell="f">
          <v:path/>
          <v:fill on="t" opacity="32768f" focussize="0,0"/>
          <v:stroke on="f"/>
          <v:imagedata o:title=""/>
          <o:lock v:ext="edit" text="f"/>
          <v:textpath on="t" fitshape="t" fitpath="t" trim="t" xscale="f" string="重庆市南岸区公共资源交易中心" style="font-family:华文仿宋;font-size:8pt;v-text-align:center;"/>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601E4B"/>
    <w:multiLevelType w:val="multilevel"/>
    <w:tmpl w:val="0E601E4B"/>
    <w:lvl w:ilvl="0" w:tentative="0">
      <w:start w:val="1"/>
      <w:numFmt w:val="decimal"/>
      <w:lvlText w:val="%1."/>
      <w:lvlJc w:val="left"/>
      <w:pPr>
        <w:ind w:left="420" w:hanging="420"/>
      </w:pPr>
    </w:lvl>
    <w:lvl w:ilvl="1" w:tentative="0">
      <w:start w:val="1"/>
      <w:numFmt w:val="decimal"/>
      <w:isLgl/>
      <w:lvlText w:val="%1.%2"/>
      <w:lvlJc w:val="left"/>
      <w:pPr>
        <w:ind w:left="720" w:hanging="72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1">
    <w:nsid w:val="11BA47DD"/>
    <w:multiLevelType w:val="multilevel"/>
    <w:tmpl w:val="11BA47DD"/>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
    <w:nsid w:val="145359B3"/>
    <w:multiLevelType w:val="multilevel"/>
    <w:tmpl w:val="145359B3"/>
    <w:lvl w:ilvl="0" w:tentative="0">
      <w:start w:val="1"/>
      <w:numFmt w:val="chineseCountingThousand"/>
      <w:suff w:val="space"/>
      <w:lvlText w:val="第%1条"/>
      <w:lvlJc w:val="left"/>
      <w:pPr>
        <w:ind w:left="0" w:firstLine="0"/>
      </w:pPr>
      <w:rPr>
        <w:rFonts w:hint="eastAsia"/>
        <w:b/>
        <w:bCs/>
        <w:lang w:val="en-US"/>
      </w:rPr>
    </w:lvl>
    <w:lvl w:ilvl="1" w:tentative="0">
      <w:start w:val="1"/>
      <w:numFmt w:val="japaneseCounting"/>
      <w:lvlText w:val="%2．"/>
      <w:lvlJc w:val="left"/>
      <w:pPr>
        <w:tabs>
          <w:tab w:val="left" w:pos="795"/>
        </w:tabs>
        <w:ind w:left="795" w:hanging="375"/>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3">
    <w:nsid w:val="16421DA9"/>
    <w:multiLevelType w:val="multilevel"/>
    <w:tmpl w:val="16421DA9"/>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4">
    <w:nsid w:val="19394E0F"/>
    <w:multiLevelType w:val="multilevel"/>
    <w:tmpl w:val="19394E0F"/>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5">
    <w:nsid w:val="1E87481E"/>
    <w:multiLevelType w:val="multilevel"/>
    <w:tmpl w:val="1E87481E"/>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6">
    <w:nsid w:val="1F3A1F54"/>
    <w:multiLevelType w:val="multilevel"/>
    <w:tmpl w:val="1F3A1F54"/>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7">
    <w:nsid w:val="4034971D"/>
    <w:multiLevelType w:val="singleLevel"/>
    <w:tmpl w:val="4034971D"/>
    <w:lvl w:ilvl="0" w:tentative="0">
      <w:start w:val="1"/>
      <w:numFmt w:val="chineseCounting"/>
      <w:suff w:val="nothing"/>
      <w:lvlText w:val="%1、"/>
      <w:lvlJc w:val="left"/>
      <w:rPr>
        <w:rFonts w:hint="eastAsia"/>
      </w:rPr>
    </w:lvl>
  </w:abstractNum>
  <w:abstractNum w:abstractNumId="8">
    <w:nsid w:val="4D156394"/>
    <w:multiLevelType w:val="multilevel"/>
    <w:tmpl w:val="4D156394"/>
    <w:lvl w:ilvl="0" w:tentative="0">
      <w:start w:val="1"/>
      <w:numFmt w:val="decimal"/>
      <w:lvlText w:val="%1."/>
      <w:lvlJc w:val="left"/>
      <w:pPr>
        <w:ind w:left="420" w:hanging="420"/>
      </w:pPr>
    </w:lvl>
    <w:lvl w:ilvl="1" w:tentative="0">
      <w:start w:val="1"/>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608D3A4F"/>
    <w:multiLevelType w:val="multilevel"/>
    <w:tmpl w:val="608D3A4F"/>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C733544"/>
    <w:multiLevelType w:val="multilevel"/>
    <w:tmpl w:val="6C733544"/>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1">
    <w:nsid w:val="6C9E37CE"/>
    <w:multiLevelType w:val="multilevel"/>
    <w:tmpl w:val="6C9E37CE"/>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7"/>
  </w:num>
  <w:num w:numId="2">
    <w:abstractNumId w:val="2"/>
  </w:num>
  <w:num w:numId="3">
    <w:abstractNumId w:val="8"/>
  </w:num>
  <w:num w:numId="4">
    <w:abstractNumId w:val="9"/>
  </w:num>
  <w:num w:numId="5">
    <w:abstractNumId w:val="1"/>
  </w:num>
  <w:num w:numId="6">
    <w:abstractNumId w:val="0"/>
  </w:num>
  <w:num w:numId="7">
    <w:abstractNumId w:val="11"/>
  </w:num>
  <w:num w:numId="8">
    <w:abstractNumId w:val="6"/>
  </w:num>
  <w:num w:numId="9">
    <w:abstractNumId w:val="3"/>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447CE7"/>
    <w:rsid w:val="29447CE7"/>
    <w:rsid w:val="37802154"/>
    <w:rsid w:val="73444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b/>
      <w:sz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adjustRightInd w:val="0"/>
      <w:snapToGrid w:val="0"/>
      <w:spacing w:line="360" w:lineRule="auto"/>
      <w:ind w:firstLine="420"/>
    </w:pPr>
    <w:rPr>
      <w:sz w:val="24"/>
    </w:rPr>
  </w:style>
  <w:style w:type="paragraph" w:styleId="6">
    <w:name w:val="Body Text"/>
    <w:basedOn w:val="1"/>
    <w:next w:val="1"/>
    <w:qFormat/>
    <w:uiPriority w:val="0"/>
    <w:rPr>
      <w:rFonts w:ascii="仿宋_GB2312" w:eastAsia="仿宋_GB2312"/>
      <w:sz w:val="32"/>
    </w:rPr>
  </w:style>
  <w:style w:type="paragraph" w:styleId="7">
    <w:name w:val="Body Text Indent"/>
    <w:basedOn w:val="1"/>
    <w:qFormat/>
    <w:uiPriority w:val="0"/>
    <w:pPr>
      <w:spacing w:line="700" w:lineRule="exact"/>
      <w:ind w:left="960"/>
    </w:pPr>
    <w:rPr>
      <w:sz w:val="44"/>
    </w:rPr>
  </w:style>
  <w:style w:type="paragraph" w:styleId="8">
    <w:name w:val="toc 3"/>
    <w:basedOn w:val="1"/>
    <w:next w:val="1"/>
    <w:qFormat/>
    <w:uiPriority w:val="39"/>
    <w:pPr>
      <w:ind w:left="840" w:leftChars="400"/>
    </w:pPr>
  </w:style>
  <w:style w:type="paragraph" w:styleId="9">
    <w:name w:val="Plain Text"/>
    <w:basedOn w:val="1"/>
    <w:qFormat/>
    <w:uiPriority w:val="0"/>
    <w:rPr>
      <w:rFonts w:ascii="宋体" w:hAnsi="Courier New"/>
      <w:sz w:val="21"/>
    </w:rPr>
  </w:style>
  <w:style w:type="paragraph" w:styleId="10">
    <w:name w:val="Date"/>
    <w:basedOn w:val="1"/>
    <w:next w:val="1"/>
    <w:qFormat/>
    <w:uiPriority w:val="0"/>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rPr>
  </w:style>
  <w:style w:type="paragraph" w:styleId="13">
    <w:name w:val="toc 1"/>
    <w:basedOn w:val="1"/>
    <w:next w:val="1"/>
    <w:qFormat/>
    <w:uiPriority w:val="0"/>
    <w:pPr>
      <w:spacing w:line="180" w:lineRule="auto"/>
      <w:jc w:val="center"/>
    </w:pPr>
    <w:rPr>
      <w:sz w:val="30"/>
    </w:rPr>
  </w:style>
  <w:style w:type="paragraph" w:styleId="14">
    <w:name w:val="toc 2"/>
    <w:basedOn w:val="1"/>
    <w:next w:val="1"/>
    <w:qFormat/>
    <w:uiPriority w:val="39"/>
    <w:pPr>
      <w:ind w:left="420" w:leftChars="200"/>
    </w:pPr>
  </w:style>
  <w:style w:type="paragraph" w:styleId="15">
    <w:name w:val="Normal (Web)"/>
    <w:basedOn w:val="1"/>
    <w:qFormat/>
    <w:uiPriority w:val="99"/>
    <w:pPr>
      <w:widowControl/>
      <w:spacing w:before="100" w:beforeAutospacing="1" w:after="100" w:afterAutospacing="1"/>
      <w:jc w:val="left"/>
    </w:pPr>
    <w:rPr>
      <w:rFonts w:ascii="宋体" w:hAnsi="宋体"/>
      <w:kern w:val="0"/>
      <w:sz w:val="24"/>
    </w:rPr>
  </w:style>
  <w:style w:type="paragraph" w:styleId="16">
    <w:name w:val="Body Text First Indent"/>
    <w:basedOn w:val="6"/>
    <w:qFormat/>
    <w:uiPriority w:val="0"/>
    <w:pPr>
      <w:spacing w:line="360" w:lineRule="auto"/>
      <w:ind w:firstLine="420"/>
    </w:pPr>
    <w:rPr>
      <w:rFonts w:ascii="宋体" w:hAnsi="宋体"/>
      <w:sz w:val="24"/>
    </w:rPr>
  </w:style>
  <w:style w:type="character" w:styleId="19">
    <w:name w:val="page number"/>
    <w:basedOn w:val="18"/>
    <w:qFormat/>
    <w:uiPriority w:val="0"/>
  </w:style>
  <w:style w:type="paragraph" w:customStyle="1" w:styleId="20">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21">
    <w:name w:val="1"/>
    <w:basedOn w:val="1"/>
    <w:next w:val="9"/>
    <w:qFormat/>
    <w:uiPriority w:val="0"/>
    <w:rPr>
      <w:rFonts w:ascii="宋体" w:hAnsi="Courier New"/>
      <w:sz w:val="21"/>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Info spid="_x0000_s4098"/>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2021-08-17T09:09:00Z</dcterms:created>
  <dc:creator>江舸</dc:creator>
  <cp:lastModifiedBy>江舸</cp:lastModifiedBy>
  <dcterms:modified xsi:type="dcterms:W3CDTF">2021-08-24T02:06:07Z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3BD580D714B4434C9E91A742F7D30086</vt:lpwstr>
  </property>
</Properties>
</file>