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b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kern w:val="0"/>
          <w:sz w:val="44"/>
          <w:szCs w:val="44"/>
        </w:rPr>
        <w:t>重庆市计量质量检测研究院</w:t>
      </w:r>
    </w:p>
    <w:p>
      <w:pPr>
        <w:jc w:val="center"/>
        <w:rPr>
          <w:rFonts w:ascii="黑体" w:hAnsi="宋体" w:eastAsia="黑体" w:cs="宋体"/>
          <w:b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kern w:val="0"/>
          <w:sz w:val="44"/>
          <w:szCs w:val="44"/>
        </w:rPr>
        <w:t xml:space="preserve">  报废资产招标处置公告</w:t>
      </w:r>
    </w:p>
    <w:p>
      <w:pPr>
        <w:jc w:val="center"/>
        <w:rPr>
          <w:rFonts w:ascii="黑体" w:hAnsi="宋体" w:eastAsia="黑体" w:cs="宋体"/>
          <w:b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kern w:val="0"/>
          <w:sz w:val="44"/>
          <w:szCs w:val="44"/>
        </w:rPr>
        <w:t>（</w:t>
      </w:r>
      <w:r>
        <w:rPr>
          <w:rFonts w:ascii="黑体" w:hAnsi="宋体" w:eastAsia="黑体" w:cs="宋体"/>
          <w:b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b/>
          <w:kern w:val="0"/>
          <w:sz w:val="32"/>
          <w:szCs w:val="32"/>
          <w:lang w:val="en-US" w:eastAsia="zh-CN"/>
        </w:rPr>
        <w:t>YFY</w:t>
      </w:r>
      <w:r>
        <w:rPr>
          <w:rFonts w:ascii="黑体" w:hAnsi="宋体" w:eastAsia="黑体" w:cs="宋体"/>
          <w:b/>
          <w:kern w:val="0"/>
          <w:sz w:val="32"/>
          <w:szCs w:val="32"/>
        </w:rPr>
        <w:t>-0</w:t>
      </w:r>
      <w:r>
        <w:rPr>
          <w:rFonts w:hint="eastAsia" w:ascii="黑体" w:hAnsi="宋体" w:eastAsia="黑体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宋体"/>
          <w:b/>
          <w:kern w:val="0"/>
          <w:sz w:val="44"/>
          <w:szCs w:val="44"/>
        </w:rPr>
        <w:t>）</w:t>
      </w:r>
    </w:p>
    <w:p>
      <w:pPr>
        <w:ind w:firstLine="157" w:firstLineChars="49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经《重庆市市场监督管理局办公室关于资产处置的通知》[渝市监办发（2020）76号]批准，拟对我院</w:t>
      </w:r>
      <w:r>
        <w:rPr>
          <w:rFonts w:hint="eastAsia" w:ascii="黑体" w:hAnsi="宋体" w:eastAsia="黑体" w:cs="宋体"/>
          <w:b/>
          <w:kern w:val="0"/>
          <w:sz w:val="32"/>
          <w:szCs w:val="32"/>
          <w:lang w:val="en-US" w:eastAsia="zh-CN"/>
        </w:rPr>
        <w:t>第一分院</w:t>
      </w:r>
      <w:r>
        <w:rPr>
          <w:rFonts w:hint="eastAsia" w:ascii="黑体" w:hAnsi="宋体" w:eastAsia="黑体" w:cs="宋体"/>
          <w:b/>
          <w:kern w:val="0"/>
          <w:sz w:val="32"/>
          <w:szCs w:val="32"/>
        </w:rPr>
        <w:t>符合报废要求不能继续使用的资产以现状进行公开处置，欢迎参与竞标。</w:t>
      </w:r>
    </w:p>
    <w:p>
      <w:pPr>
        <w:numPr>
          <w:ilvl w:val="0"/>
          <w:numId w:val="1"/>
        </w:numPr>
        <w:jc w:val="left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处置标的物：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59"/>
        <w:gridCol w:w="1085"/>
        <w:gridCol w:w="2616"/>
        <w:gridCol w:w="709"/>
        <w:gridCol w:w="1361"/>
        <w:gridCol w:w="1316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tblHeader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资产卡</w:t>
            </w: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片编号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资产</w:t>
            </w: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资产名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称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购置</w:t>
            </w: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109" w:leftChars="52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账面 价值</w:t>
            </w:r>
          </w:p>
        </w:tc>
        <w:tc>
          <w:tcPr>
            <w:tcW w:w="9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存放</w:t>
            </w: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80000002 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2008/8/31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4485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80000003 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2008/7/30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3650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80000007 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2007/9/30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4299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80000008 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2007/2/28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4180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80000009 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2007/1/30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2960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80000011 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2006/9/30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4870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80000012 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2006/9/30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80000013 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2006/2/25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80000022 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方正飞越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2006/10/30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9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80000024 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2006/9/30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4620</w:t>
            </w:r>
          </w:p>
        </w:tc>
        <w:tc>
          <w:tcPr>
            <w:tcW w:w="9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80000039 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移动硬盘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2007/7/31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9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80000047 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1998/12/31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80000048 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1998/12/31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80000064 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2007/11/30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9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80000069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80000074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2006/5/25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1360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80000083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佳能打印机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2008/5/30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80000084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佳</w:t>
            </w: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能打印机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2008/4/30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80000085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佳能打印机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2008/4/30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80000093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电脑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2008/10/31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3100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80000099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笔记本电脑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2010/10/31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80000105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笔记本电脑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2010/9/30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4980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80000107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笔记本电脑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2009/11/30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80000108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笔记本电脑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2009/8/31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8600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80000109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笔记本电脑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2007/10/31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4319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80000110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电脑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7650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80000112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电脑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2010/11/30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2650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80000113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电脑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2010/11/30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2650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80000122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电脑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2009/4/30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80000127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百分表检定仪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2004/6/30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7013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80000131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半自动精密智能量热仪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80000140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不锈钢吸风罩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2013/12/31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80000141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不锈钢吸风罩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2013/12/31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80000142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不锈钢吸风罩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2013/12/31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1434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80000146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长度工作台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80000157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定硫仪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2006/9/30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32000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80000162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多功能计数器(频率计)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2003/12/31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80000173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超声波清洗器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2008/12/31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5340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80000189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除湿机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2007/4/30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80000190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除湿机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2007/4/30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80000193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传感器及显示仪表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2007/6/30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80000211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氮气瓶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2004/9/30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80000212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氮气瓶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2004/9/30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80000235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电脑多元素分析仪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2008/12/31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80000260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电相电能表检定装置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2002/6/30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59000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80000268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复印机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2008/11/30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8900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80000270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复印机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2008/4/30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16800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80000271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复印机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2006/10/30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8900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80000310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精密压力表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1978/12/31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80000314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均质器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2005/4/30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80000318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开水器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2007/11/30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80000322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可调电炉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2005/12/31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80000331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快速自动测氢仪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2007/4/30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80000335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风机及风管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2013/12/31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1755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80000336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风机及风管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2013/12/31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1755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80000337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风机及风管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2013/12/31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1756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80000341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负荷传感器显示仪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1999/12/31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80000355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20"/>
                <w:kern w:val="0"/>
                <w:sz w:val="20"/>
                <w:szCs w:val="20"/>
              </w:rPr>
              <w:t>高温箱型电阻炉及控制器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2000/12/31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4235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80000402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spacing w:val="-3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pacing w:val="-30"/>
                <w:kern w:val="0"/>
                <w:sz w:val="20"/>
                <w:szCs w:val="20"/>
              </w:rPr>
              <w:t>甲烷测定器检定配套装置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2004/9/30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80000408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建材放射性检测仪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2002/12/31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78000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80000414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经纬仪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1998/12/31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9200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80000420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精密压力表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2010/9/30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80000438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精密压力表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2009/12/31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80000445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精密压力表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2006/4/30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80000466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精密压力表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1979/12/31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80000467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精密压力表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1978/12/31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80000468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精密压力表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1978/12/31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80000469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精密压力表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1978/12/31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80000470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精密压力表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1978/12/31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80000477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频率计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2009/7/31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80000478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频率计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2006/4/30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80000495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数字式测力仪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2010/7/31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80000498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数字转速表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2006/9/30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80000513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碳硫联测分析仪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2002/6/30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7800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80000531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汽车里程表检测仪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2005/12/31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80000533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汽车里程车速激光检验仪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2006/12/25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80000542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倾斜式微压计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2010/7/31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80000557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弱光照度计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80000560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三元素分析仪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2002/6/30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7800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80000570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声级计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2004/9/30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80000603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数显量仪测力仪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2004/6/30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80000604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数显浊度仪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2005/4/30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2900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80000606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数字测力仪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2011/6/30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80000618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冰箱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2007/6/30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80000625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力式光学计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2004/6/30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8900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80000654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浓缩器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2009/6/30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80000662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钟鼎式分样器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2005/3/31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80000673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桌上型通风罩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2010/11/30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7200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80000674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桌上型通风罩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2010/11/30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7200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80000688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万向吸风罩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2013/12/31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80000689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万向吸风罩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2013/12/31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80000691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往返水浴恒温振荡器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2007/3/30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80000693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微波溶样罐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2006/9/30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80000694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微波溶样罐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2006/9/30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80000702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微量分析天平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1985/6/1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80000703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微量分析天平(十万分之一)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1998/10/31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80000707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温度控制器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2005/4/30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1960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80000721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稳压电源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80000728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无油空压机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80000746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压力表氧气表两用校验仪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2013/12/31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80000763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氧气表、压力表两用校验仪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1988/1/1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80000764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氧气压力两用校验仪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80000795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张拉机检测设备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2000/7/31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80000798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照度计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2013/12/31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3100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80000819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80000820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80000821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80000913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80000914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80000915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80000916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80000917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80000918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80000919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80000920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80000921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80000922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80000923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80000924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80000925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80000926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80000927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80000976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30kN测力仪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2008/2/28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80000977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30kN测力仪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2008/2/28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80001206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80001295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80001298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80001301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80001314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80001371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80001405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80001429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80001473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80001486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80001493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80001553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80001567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80001633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80001650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80001685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80001690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80001732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80001734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80001765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80001770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80001771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80001783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80001784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80001792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80001815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80001820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80001889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80001973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80001980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80002013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80002017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80002034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80002155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80002156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80002157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80002193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80002200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80002203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80002206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80002213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80002225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80002257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80002263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80002273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80002278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80002304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80002317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80002365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80002374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80002378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80002434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80002437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80002451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电话计费器检定仪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2006/5/31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13800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80002453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电子分析天平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2005/3/31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7990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80002456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电子台称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2009/3/31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80002460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电子天平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2010/7/31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11500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80002468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电子天平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2005/3/31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6200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80002545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80002564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1985/12/30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80002565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M1级砝码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1985/12/30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54.16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80002568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标准测力计(0.3级)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2004/9/30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80002569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标准测力计(0.3级)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2004/7/31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80002571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标准测力计(0.3级)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1998/10/31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80002572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标准测力计(0.3级)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1998/10/31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80002573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标准测力计(0.3级)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1998/10/31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80002574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标准测力仪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2012/4/9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6600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80002575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标准测力仪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2012/4/9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6100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80002577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标准测力仪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2009/11/30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80002590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标准金属量器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1998/12/31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80002610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测力计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2009/5/31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80002611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测力仪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2011/6/30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80002613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电光分析天平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1991/3/1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80002761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二等标准金属量器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1997/5/1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80002763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二等活塞式压力计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2002/9/30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80002838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样品存放柜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2001/11/30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80002912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沙发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2002/12/30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80002913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沙发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2002/12/30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80002914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沙发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2002/12/30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80002915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沙发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2002/12/30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80002917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沙发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2002/12/30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80002918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沙发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2002/12/30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80002978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办公桌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2001/1/31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80002982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办公桌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2001/1/31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80002983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办公桌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2001/1/31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80002990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茶几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2002/12/30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80002991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茶几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2002/12/30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80002992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茶几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2002/12/30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80003050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经理办公桌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2001/11/30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80003086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量块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2007/4/30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80003144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六级天平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1981/12/31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80003145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平板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80003152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平行平晶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2004/6/30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80003153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平行平晶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2004/6/30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80003154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平行平晶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2004/6/30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80003155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平行平晶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2004/6/30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80003275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四等砝码盒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2002/7/31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80003356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天平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1990/10/1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80003374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格力空调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2008/12/31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3650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80003451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挂式空调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2008/6/30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2432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80003468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空调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2008/12/31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1920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80003555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空调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80003556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空调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2004/12/31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80003571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空调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2001/8/31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80003644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空调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2001/8/31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80003645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空调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2001/8/31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2980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80003646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空调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2001/8/31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一分院璧山所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80003666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空调器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2011/12/31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3150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80003750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彩色电视机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2011/3/31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1499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一分院万盛所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80003751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创维电视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2008/8/31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80003753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康佳电视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2008/8/31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80003759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空调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2010/10/31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2380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80003852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组合文件柜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2001/11/30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80003873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保险柜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1999/12/30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80003874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保险柜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1995/1/30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80003935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屏风办公桌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2001/11/30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80003936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屏风办公桌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2001/11/30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80003937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屏风办公桌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2001/11/30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80003938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屏风办公桌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2001/11/30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80003939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屏风办公桌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2001/11/30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80004074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文件柜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2003/10/31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一分院綦江所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80004076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家具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文件柜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2002/2/28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80020421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S传感器（配显示器）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2014/4/14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80020442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2014/3/25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80021746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压力表氧气表两用校验仪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2014/12/31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2860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80021775 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浮球式压力计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2014/12/31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6600</w:t>
            </w:r>
          </w:p>
        </w:tc>
        <w:tc>
          <w:tcPr>
            <w:tcW w:w="92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江津南安街168号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16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原值合计</w:t>
            </w:r>
          </w:p>
        </w:tc>
        <w:tc>
          <w:tcPr>
            <w:tcW w:w="2562" w:type="pct"/>
            <w:gridSpan w:val="4"/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722459.3</w:t>
            </w:r>
          </w:p>
        </w:tc>
      </w:tr>
    </w:tbl>
    <w:p/>
    <w:p/>
    <w:p>
      <w:pPr>
        <w:spacing w:beforeLines="100"/>
        <w:ind w:firstLine="630" w:firstLineChars="196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二、注意事项：</w:t>
      </w:r>
    </w:p>
    <w:p>
      <w:pPr>
        <w:spacing w:line="540" w:lineRule="exact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竞标</w:t>
      </w:r>
      <w:r>
        <w:rPr>
          <w:rFonts w:hint="eastAsia" w:ascii="黑体" w:eastAsia="黑体"/>
          <w:b/>
          <w:sz w:val="32"/>
          <w:szCs w:val="32"/>
        </w:rPr>
        <w:t>成交后，所涉及的税金和费用均由中标人承担。招标公告网站发布网址：</w:t>
      </w:r>
      <w:r>
        <w:fldChar w:fldCharType="begin"/>
      </w:r>
      <w:r>
        <w:instrText xml:space="preserve"> HYPERLINK "http://www.cqjz.com.cn" </w:instrText>
      </w:r>
      <w: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b/>
          <w:sz w:val="32"/>
          <w:szCs w:val="32"/>
        </w:rPr>
        <w:t>http://www.cqjz.com.cn</w:t>
      </w:r>
      <w:r>
        <w:rPr>
          <w:rStyle w:val="6"/>
          <w:rFonts w:hint="eastAsia" w:ascii="方正仿宋_GBK" w:hAnsi="方正仿宋_GBK" w:eastAsia="方正仿宋_GBK" w:cs="方正仿宋_GBK"/>
          <w:b/>
          <w:sz w:val="32"/>
          <w:szCs w:val="32"/>
        </w:rPr>
        <w:fldChar w:fldCharType="end"/>
      </w:r>
      <w:r>
        <w:rPr>
          <w:rFonts w:hint="eastAsia" w:ascii="黑体" w:eastAsia="黑体"/>
          <w:b/>
          <w:sz w:val="32"/>
          <w:szCs w:val="32"/>
        </w:rPr>
        <w:t>,通知公告栏中由投标人自行下载。</w:t>
      </w:r>
    </w:p>
    <w:p>
      <w:pPr>
        <w:spacing w:line="540" w:lineRule="exact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三、报名须知</w:t>
      </w:r>
    </w:p>
    <w:p>
      <w:pPr>
        <w:spacing w:line="540" w:lineRule="exact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 xml:space="preserve">1、报名单位要求： </w:t>
      </w:r>
    </w:p>
    <w:p>
      <w:pPr>
        <w:spacing w:line="540" w:lineRule="exact"/>
        <w:ind w:firstLine="630" w:firstLineChars="196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本次处置的是</w:t>
      </w:r>
      <w:r>
        <w:rPr>
          <w:rFonts w:hint="eastAsia" w:ascii="黑体" w:hAnsi="宋体" w:eastAsia="黑体" w:cs="宋体"/>
          <w:b/>
          <w:kern w:val="0"/>
          <w:sz w:val="32"/>
          <w:szCs w:val="32"/>
        </w:rPr>
        <w:t>符合报废要求不能继续使用的资产，只能报废处置。</w:t>
      </w:r>
      <w:r>
        <w:rPr>
          <w:rFonts w:hint="eastAsia" w:ascii="黑体" w:eastAsia="黑体"/>
          <w:b/>
          <w:sz w:val="32"/>
          <w:szCs w:val="32"/>
        </w:rPr>
        <w:t>报名单位要求：</w:t>
      </w:r>
      <w:r>
        <w:rPr>
          <w:rFonts w:hint="eastAsia" w:ascii="黑体" w:hAnsi="宋体" w:eastAsia="黑体" w:cs="宋体"/>
          <w:b/>
          <w:kern w:val="0"/>
          <w:sz w:val="32"/>
          <w:szCs w:val="32"/>
        </w:rPr>
        <w:t>废品回收公司。</w:t>
      </w:r>
    </w:p>
    <w:p>
      <w:pPr>
        <w:spacing w:line="540" w:lineRule="exact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需提供</w:t>
      </w:r>
      <w:r>
        <w:rPr>
          <w:rFonts w:hint="eastAsia" w:ascii="黑体" w:hAnsi="宋体" w:eastAsia="黑体" w:cs="宋体"/>
          <w:b/>
          <w:kern w:val="0"/>
          <w:sz w:val="32"/>
          <w:szCs w:val="32"/>
        </w:rPr>
        <w:t>废品回收公司营业执照</w:t>
      </w:r>
      <w:r>
        <w:rPr>
          <w:rFonts w:hint="eastAsia" w:ascii="黑体" w:eastAsia="黑体"/>
          <w:b/>
          <w:sz w:val="32"/>
          <w:szCs w:val="32"/>
        </w:rPr>
        <w:t>、经办人员身份证原件、复印件；</w:t>
      </w:r>
    </w:p>
    <w:p>
      <w:pPr>
        <w:spacing w:line="540" w:lineRule="exact"/>
        <w:ind w:firstLine="630" w:firstLineChars="196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2、本次</w:t>
      </w:r>
      <w:r>
        <w:rPr>
          <w:rFonts w:hint="eastAsia" w:ascii="黑体" w:hAnsi="宋体" w:eastAsia="黑体" w:cs="宋体"/>
          <w:b/>
          <w:kern w:val="0"/>
          <w:sz w:val="32"/>
          <w:szCs w:val="32"/>
        </w:rPr>
        <w:t>竞标报价采用一次性报价方式，报价后不得更改。</w:t>
      </w:r>
    </w:p>
    <w:p>
      <w:pPr>
        <w:spacing w:line="540" w:lineRule="exact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3、每位竞标人在开标前应提交1000元投标保证金(未中标竞标人，在中标结果公布后方可办理退还手续，在退还保证金时须由甲方出具退还证明后方可退还)。中标结果公示三日。无异议中标人必须在3日内交清拍卖款，如不及时交清拍卖款将解除合同，我院有权没收投标保证金。</w:t>
      </w:r>
    </w:p>
    <w:p>
      <w:pPr>
        <w:spacing w:line="540" w:lineRule="exact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四、其他</w:t>
      </w:r>
    </w:p>
    <w:p>
      <w:pPr>
        <w:spacing w:line="540" w:lineRule="exact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1、本次中标的资产只过户到中标人名下；</w:t>
      </w:r>
    </w:p>
    <w:p>
      <w:pPr>
        <w:spacing w:line="540" w:lineRule="exact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2、由中标人办理中标处置资产过户运输等所有费用由中标人承担。</w:t>
      </w:r>
    </w:p>
    <w:p>
      <w:pPr>
        <w:spacing w:line="540" w:lineRule="exact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3.实物现场查看联系人：温雪梅（13883020813）、曾祥平（13996369592）黄可（13708388989）喻江（13883395028）彭杰（15025616208）</w:t>
      </w:r>
    </w:p>
    <w:p>
      <w:pPr>
        <w:spacing w:line="540" w:lineRule="exact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五、开标、公布成交情况</w:t>
      </w:r>
    </w:p>
    <w:p>
      <w:pPr>
        <w:spacing w:line="540" w:lineRule="exact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2020年11月13日上午10: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00</w:t>
      </w:r>
      <w:r>
        <w:rPr>
          <w:rFonts w:hint="eastAsia" w:ascii="黑体" w:eastAsia="黑体"/>
          <w:b/>
          <w:sz w:val="32"/>
          <w:szCs w:val="32"/>
        </w:rPr>
        <w:t>在重庆市计量质量检测研究院第一分院三楼会议室开标，参加现场开标的报名者要查验身份证原件，听从现场工作人员的安排。</w:t>
      </w:r>
    </w:p>
    <w:p>
      <w:pPr>
        <w:spacing w:line="540" w:lineRule="exact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本次资产处置由第一分院主持，评审开标成员由：一</w:t>
      </w:r>
      <w:r>
        <w:rPr>
          <w:rFonts w:hint="eastAsia" w:ascii="黑体" w:eastAsia="黑体"/>
          <w:b/>
          <w:sz w:val="32"/>
          <w:szCs w:val="32"/>
        </w:rPr>
        <w:t>分院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相关</w:t>
      </w:r>
      <w:r>
        <w:rPr>
          <w:rFonts w:hint="eastAsia" w:ascii="黑体" w:eastAsia="黑体"/>
          <w:b/>
          <w:sz w:val="32"/>
          <w:szCs w:val="32"/>
        </w:rPr>
        <w:t>院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领导</w:t>
      </w:r>
      <w:r>
        <w:rPr>
          <w:rFonts w:hint="eastAsia" w:ascii="黑体" w:eastAsia="黑体"/>
          <w:b/>
          <w:sz w:val="32"/>
          <w:szCs w:val="32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一分院</w:t>
      </w:r>
      <w:r>
        <w:rPr>
          <w:rFonts w:hint="eastAsia" w:ascii="黑体" w:eastAsia="黑体"/>
          <w:b/>
          <w:sz w:val="32"/>
          <w:szCs w:val="32"/>
        </w:rPr>
        <w:t>综合科、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一分院</w:t>
      </w:r>
      <w:r>
        <w:rPr>
          <w:rFonts w:hint="eastAsia" w:ascii="黑体" w:eastAsia="黑体"/>
          <w:b/>
          <w:sz w:val="32"/>
          <w:szCs w:val="32"/>
        </w:rPr>
        <w:t>科技质量科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等相关人员组成，评审开标人员不少于三人，并在一分院纪检及相关部门的</w:t>
      </w:r>
      <w:r>
        <w:rPr>
          <w:rFonts w:hint="eastAsia" w:ascii="黑体" w:eastAsia="黑体"/>
          <w:b/>
          <w:sz w:val="32"/>
          <w:szCs w:val="32"/>
        </w:rPr>
        <w:t>共同监督下开标，现场公布中标结果。</w:t>
      </w:r>
    </w:p>
    <w:p>
      <w:pPr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六、公告时间及报名地点：</w:t>
      </w:r>
    </w:p>
    <w:p>
      <w:pPr>
        <w:spacing w:beforeLines="50" w:line="440" w:lineRule="exact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1、公告时间：2020-11-9～2020-1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-13上午9:30</w:t>
      </w:r>
    </w:p>
    <w:p>
      <w:pPr>
        <w:spacing w:line="440" w:lineRule="exact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2、报名时间：2020-11-13上午9:30～10:00</w:t>
      </w:r>
    </w:p>
    <w:p>
      <w:pPr>
        <w:spacing w:line="440" w:lineRule="exact"/>
        <w:ind w:firstLine="630" w:firstLineChars="196"/>
        <w:rPr>
          <w:rFonts w:ascii="黑体" w:eastAsia="黑体"/>
          <w:b/>
          <w:spacing w:val="-6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3、报名地点：</w:t>
      </w:r>
      <w:r>
        <w:rPr>
          <w:rFonts w:hint="eastAsia" w:ascii="黑体" w:eastAsia="黑体"/>
          <w:b/>
          <w:spacing w:val="-6"/>
          <w:sz w:val="32"/>
          <w:szCs w:val="32"/>
        </w:rPr>
        <w:t>重庆市计量质量检测研究院第一分院三楼</w:t>
      </w:r>
    </w:p>
    <w:p>
      <w:pPr>
        <w:spacing w:line="440" w:lineRule="exact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4、联 系 人：温雪梅</w:t>
      </w:r>
    </w:p>
    <w:p>
      <w:pPr>
        <w:spacing w:line="440" w:lineRule="exact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5、联系电话：87063600</w:t>
      </w:r>
    </w:p>
    <w:p>
      <w:pPr>
        <w:spacing w:line="440" w:lineRule="exact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6、开标时间：2020-11-13上午10: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0</w:t>
      </w:r>
      <w:r>
        <w:rPr>
          <w:rFonts w:hint="eastAsia" w:ascii="黑体" w:eastAsia="黑体"/>
          <w:b/>
          <w:sz w:val="32"/>
          <w:szCs w:val="32"/>
        </w:rPr>
        <w:t>0</w:t>
      </w:r>
    </w:p>
    <w:p>
      <w:pPr>
        <w:spacing w:line="440" w:lineRule="exact"/>
        <w:ind w:firstLine="4324" w:firstLineChars="1346"/>
        <w:rPr>
          <w:rFonts w:ascii="黑体" w:eastAsia="黑体"/>
          <w:b/>
          <w:sz w:val="32"/>
          <w:szCs w:val="32"/>
        </w:rPr>
      </w:pPr>
    </w:p>
    <w:p>
      <w:pPr>
        <w:spacing w:line="440" w:lineRule="exact"/>
        <w:ind w:firstLine="3993" w:firstLineChars="1243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重庆市计量质量检测研究院</w:t>
      </w:r>
    </w:p>
    <w:p>
      <w:pPr>
        <w:spacing w:line="440" w:lineRule="exact"/>
        <w:ind w:firstLine="4498" w:firstLineChars="14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2020年1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b/>
          <w:sz w:val="32"/>
          <w:szCs w:val="32"/>
        </w:rPr>
        <w:t>日</w:t>
      </w:r>
    </w:p>
    <w:p/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44A82"/>
    <w:multiLevelType w:val="multilevel"/>
    <w:tmpl w:val="71644A82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3E3"/>
    <w:rsid w:val="00090A26"/>
    <w:rsid w:val="002E5153"/>
    <w:rsid w:val="0035618D"/>
    <w:rsid w:val="005079EA"/>
    <w:rsid w:val="005C60DD"/>
    <w:rsid w:val="006A053E"/>
    <w:rsid w:val="006A0C5D"/>
    <w:rsid w:val="00724874"/>
    <w:rsid w:val="0075579C"/>
    <w:rsid w:val="007C49FD"/>
    <w:rsid w:val="007F1156"/>
    <w:rsid w:val="008357AB"/>
    <w:rsid w:val="008413E3"/>
    <w:rsid w:val="00886493"/>
    <w:rsid w:val="00C70908"/>
    <w:rsid w:val="00CE5FBB"/>
    <w:rsid w:val="00D6330A"/>
    <w:rsid w:val="00DA548F"/>
    <w:rsid w:val="00E21725"/>
    <w:rsid w:val="00E64565"/>
    <w:rsid w:val="3CE966A5"/>
    <w:rsid w:val="776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2087</Words>
  <Characters>11897</Characters>
  <Lines>99</Lines>
  <Paragraphs>27</Paragraphs>
  <TotalTime>46</TotalTime>
  <ScaleCrop>false</ScaleCrop>
  <LinksUpToDate>false</LinksUpToDate>
  <CharactersWithSpaces>13957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2020-11-06T06:34:00Z</dcterms:created>
  <dc:creator>PC</dc:creator>
  <cp:lastModifiedBy>何林</cp:lastModifiedBy>
  <dcterms:modified xsi:type="dcterms:W3CDTF">2020-11-09T02:48:54Z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